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FA" w:rsidRPr="00697D4D" w:rsidRDefault="00697D4D" w:rsidP="00697D4D">
      <w:pPr>
        <w:jc w:val="center"/>
        <w:rPr>
          <w:b/>
          <w:sz w:val="28"/>
          <w:lang w:val="fr-BE"/>
        </w:rPr>
      </w:pPr>
      <w:r w:rsidRPr="00697D4D">
        <w:rPr>
          <w:b/>
          <w:sz w:val="28"/>
          <w:lang w:val="fr-BE"/>
        </w:rPr>
        <w:t xml:space="preserve">RH – Mai-Ndombe   </w:t>
      </w:r>
      <w:r w:rsidR="00A8299B" w:rsidRPr="00697D4D">
        <w:rPr>
          <w:b/>
          <w:sz w:val="28"/>
          <w:lang w:val="fr-BE"/>
        </w:rPr>
        <w:t>Alerte EHTOOLS</w:t>
      </w:r>
    </w:p>
    <w:p w:rsidR="00A8299B" w:rsidRDefault="00A8299B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6"/>
        <w:gridCol w:w="1073"/>
        <w:gridCol w:w="535"/>
        <w:gridCol w:w="3118"/>
        <w:gridCol w:w="1980"/>
      </w:tblGrid>
      <w:tr w:rsidR="00A8299B" w:rsidTr="00697D4D">
        <w:trPr>
          <w:trHeight w:val="340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 xml:space="preserve">Date </w:t>
            </w:r>
            <w:r w:rsidRPr="00EB7E52">
              <w:rPr>
                <w:b/>
                <w:lang w:val="fr-BE"/>
              </w:rPr>
              <w:t>de début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964210" w:rsidP="00EB7E52">
            <w:pPr>
              <w:rPr>
                <w:lang w:val="fr-BE"/>
              </w:rPr>
            </w:pPr>
            <w:r>
              <w:rPr>
                <w:lang w:val="fr-BE"/>
              </w:rPr>
              <w:t>07 janvier 2024</w:t>
            </w:r>
          </w:p>
        </w:tc>
      </w:tr>
      <w:tr w:rsidR="00A8299B" w:rsidTr="00697D4D">
        <w:trPr>
          <w:trHeight w:val="340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Cluster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Multisectoriel</w:t>
            </w:r>
          </w:p>
        </w:tc>
      </w:tr>
      <w:tr w:rsidR="00A8299B" w:rsidTr="00697D4D">
        <w:trPr>
          <w:trHeight w:val="340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Cause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Attaques, affrontements armés</w:t>
            </w:r>
          </w:p>
        </w:tc>
      </w:tr>
      <w:tr w:rsidR="00A8299B" w:rsidTr="00697D4D">
        <w:trPr>
          <w:trHeight w:val="340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Risques d’</w:t>
            </w:r>
            <w:r w:rsidRPr="00EB7E52">
              <w:rPr>
                <w:b/>
                <w:lang w:val="fr-BE"/>
              </w:rPr>
              <w:t>accès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NON</w:t>
            </w:r>
          </w:p>
        </w:tc>
      </w:tr>
      <w:tr w:rsidR="00EB7E52" w:rsidTr="00697D4D">
        <w:trPr>
          <w:trHeight w:val="340"/>
        </w:trPr>
        <w:tc>
          <w:tcPr>
            <w:tcW w:w="2356" w:type="dxa"/>
            <w:vMerge w:val="restart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Sources d’informatio</w:t>
            </w:r>
            <w:bookmarkStart w:id="0" w:name="_GoBack"/>
            <w:bookmarkEnd w:id="0"/>
            <w:r w:rsidRPr="00EB7E52">
              <w:rPr>
                <w:b/>
                <w:lang w:val="fr-BE"/>
              </w:rPr>
              <w:t>n</w:t>
            </w:r>
          </w:p>
        </w:tc>
        <w:tc>
          <w:tcPr>
            <w:tcW w:w="1608" w:type="dxa"/>
            <w:gridSpan w:val="2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Principale</w:t>
            </w:r>
            <w:r>
              <w:rPr>
                <w:b/>
                <w:lang w:val="fr-BE"/>
              </w:rPr>
              <w:t> :</w:t>
            </w:r>
          </w:p>
        </w:tc>
        <w:tc>
          <w:tcPr>
            <w:tcW w:w="5098" w:type="dxa"/>
            <w:gridSpan w:val="2"/>
            <w:vAlign w:val="center"/>
          </w:tcPr>
          <w:p w:rsidR="00964210" w:rsidRDefault="00964210" w:rsidP="00EB7E52">
            <w:pPr>
              <w:rPr>
                <w:lang w:val="fr-BE"/>
              </w:rPr>
            </w:pPr>
            <w:r w:rsidRPr="00964210">
              <w:rPr>
                <w:lang w:val="fr-BE"/>
              </w:rPr>
              <w:t xml:space="preserve">Bureau de l'Action Humanitaire </w:t>
            </w:r>
            <w:r>
              <w:rPr>
                <w:lang w:val="fr-BE"/>
              </w:rPr>
              <w:t xml:space="preserve">de </w:t>
            </w:r>
            <w:proofErr w:type="spellStart"/>
            <w:r>
              <w:rPr>
                <w:lang w:val="fr-BE"/>
              </w:rPr>
              <w:t>Fatundu</w:t>
            </w:r>
            <w:proofErr w:type="spellEnd"/>
            <w:r>
              <w:rPr>
                <w:lang w:val="fr-BE"/>
              </w:rPr>
              <w:t xml:space="preserve">, le </w:t>
            </w:r>
            <w:r w:rsidRPr="00964210">
              <w:rPr>
                <w:lang w:val="fr-BE"/>
              </w:rPr>
              <w:t xml:space="preserve">Bourgmestre de </w:t>
            </w:r>
            <w:proofErr w:type="spellStart"/>
            <w:r w:rsidRPr="00964210">
              <w:rPr>
                <w:lang w:val="fr-BE"/>
              </w:rPr>
              <w:t>Misay</w:t>
            </w:r>
            <w:proofErr w:type="spellEnd"/>
            <w:r>
              <w:rPr>
                <w:lang w:val="fr-BE"/>
              </w:rPr>
              <w:t xml:space="preserve"> et le Chef de Secteur</w:t>
            </w:r>
          </w:p>
        </w:tc>
      </w:tr>
      <w:tr w:rsidR="00EB7E52" w:rsidTr="00697D4D">
        <w:trPr>
          <w:trHeight w:val="340"/>
        </w:trPr>
        <w:tc>
          <w:tcPr>
            <w:tcW w:w="2356" w:type="dxa"/>
            <w:vMerge/>
            <w:shd w:val="clear" w:color="auto" w:fill="D9D9D9" w:themeFill="background1" w:themeFillShade="D9"/>
            <w:vAlign w:val="center"/>
          </w:tcPr>
          <w:p w:rsidR="00EB7E52" w:rsidRDefault="00EB7E52" w:rsidP="00EB7E52">
            <w:pPr>
              <w:rPr>
                <w:lang w:val="fr-BE"/>
              </w:rPr>
            </w:pPr>
          </w:p>
        </w:tc>
        <w:tc>
          <w:tcPr>
            <w:tcW w:w="1608" w:type="dxa"/>
            <w:gridSpan w:val="2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Secondaire</w:t>
            </w:r>
            <w:r>
              <w:rPr>
                <w:b/>
                <w:lang w:val="fr-BE"/>
              </w:rPr>
              <w:t> :</w:t>
            </w:r>
          </w:p>
        </w:tc>
        <w:tc>
          <w:tcPr>
            <w:tcW w:w="5098" w:type="dxa"/>
            <w:gridSpan w:val="2"/>
            <w:vAlign w:val="center"/>
          </w:tcPr>
          <w:p w:rsidR="00EB7E52" w:rsidRDefault="00964210" w:rsidP="00EB7E52">
            <w:pPr>
              <w:rPr>
                <w:lang w:val="fr-BE"/>
              </w:rPr>
            </w:pPr>
            <w:r>
              <w:rPr>
                <w:lang w:val="fr-BE"/>
              </w:rPr>
              <w:t>CANACU, Caritas Développement Kenge</w:t>
            </w:r>
          </w:p>
        </w:tc>
      </w:tr>
      <w:tr w:rsidR="00EB7E52" w:rsidTr="00EB7E52">
        <w:trPr>
          <w:trHeight w:val="340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Détails sur l’estimation de la population affectée</w:t>
            </w:r>
          </w:p>
        </w:tc>
      </w:tr>
      <w:tr w:rsidR="00A8299B" w:rsidTr="004556CB">
        <w:trPr>
          <w:trHeight w:val="340"/>
        </w:trPr>
        <w:tc>
          <w:tcPr>
            <w:tcW w:w="2356" w:type="dxa"/>
            <w:vAlign w:val="center"/>
          </w:tcPr>
          <w:p w:rsidR="00A8299B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Nombre de personnes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4556CB" w:rsidP="00EB7E52">
            <w:pPr>
              <w:rPr>
                <w:lang w:val="fr-BE"/>
              </w:rPr>
            </w:pPr>
            <w:r>
              <w:rPr>
                <w:lang w:val="fr-BE"/>
              </w:rPr>
              <w:t>17.153 personnes déplacées internes</w:t>
            </w:r>
          </w:p>
        </w:tc>
      </w:tr>
      <w:tr w:rsidR="00A8299B" w:rsidTr="004556CB">
        <w:trPr>
          <w:trHeight w:val="340"/>
        </w:trPr>
        <w:tc>
          <w:tcPr>
            <w:tcW w:w="2356" w:type="dxa"/>
            <w:vAlign w:val="center"/>
          </w:tcPr>
          <w:p w:rsidR="00A8299B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Nombre de ménages :</w:t>
            </w:r>
          </w:p>
        </w:tc>
        <w:tc>
          <w:tcPr>
            <w:tcW w:w="6706" w:type="dxa"/>
            <w:gridSpan w:val="4"/>
            <w:vAlign w:val="center"/>
          </w:tcPr>
          <w:p w:rsidR="00A8299B" w:rsidRDefault="00A8299B" w:rsidP="00EB7E52">
            <w:pPr>
              <w:rPr>
                <w:lang w:val="fr-BE"/>
              </w:rPr>
            </w:pPr>
          </w:p>
        </w:tc>
      </w:tr>
      <w:tr w:rsidR="00EB7E52" w:rsidTr="00EB7E52">
        <w:trPr>
          <w:trHeight w:val="340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Localisation</w:t>
            </w:r>
          </w:p>
        </w:tc>
      </w:tr>
      <w:tr w:rsidR="00EB7E52" w:rsidTr="004556CB">
        <w:trPr>
          <w:trHeight w:val="340"/>
        </w:trPr>
        <w:tc>
          <w:tcPr>
            <w:tcW w:w="2356" w:type="dxa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Province</w:t>
            </w:r>
          </w:p>
        </w:tc>
        <w:tc>
          <w:tcPr>
            <w:tcW w:w="1073" w:type="dxa"/>
            <w:vAlign w:val="center"/>
          </w:tcPr>
          <w:p w:rsidR="00EB7E52" w:rsidRDefault="00E8315A" w:rsidP="00EB7E52">
            <w:pPr>
              <w:rPr>
                <w:lang w:val="fr-BE"/>
              </w:rPr>
            </w:pPr>
            <w:r>
              <w:rPr>
                <w:lang w:val="fr-BE"/>
              </w:rPr>
              <w:t>KWILU</w:t>
            </w:r>
          </w:p>
        </w:tc>
        <w:tc>
          <w:tcPr>
            <w:tcW w:w="3653" w:type="dxa"/>
            <w:gridSpan w:val="2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Commune, secteur</w:t>
            </w:r>
          </w:p>
        </w:tc>
        <w:tc>
          <w:tcPr>
            <w:tcW w:w="1980" w:type="dxa"/>
            <w:vAlign w:val="center"/>
          </w:tcPr>
          <w:p w:rsidR="00EB7E52" w:rsidRDefault="00E8315A" w:rsidP="00EB7E52">
            <w:pPr>
              <w:rPr>
                <w:lang w:val="fr-BE"/>
              </w:rPr>
            </w:pPr>
            <w:r>
              <w:rPr>
                <w:lang w:val="fr-BE"/>
              </w:rPr>
              <w:t>WAMBA</w:t>
            </w:r>
          </w:p>
        </w:tc>
      </w:tr>
      <w:tr w:rsidR="00EB7E52" w:rsidTr="004556CB">
        <w:trPr>
          <w:trHeight w:val="340"/>
        </w:trPr>
        <w:tc>
          <w:tcPr>
            <w:tcW w:w="2356" w:type="dxa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Territoire, ville</w:t>
            </w:r>
          </w:p>
        </w:tc>
        <w:tc>
          <w:tcPr>
            <w:tcW w:w="1073" w:type="dxa"/>
            <w:vAlign w:val="center"/>
          </w:tcPr>
          <w:p w:rsidR="00EB7E52" w:rsidRDefault="00BE5516" w:rsidP="00EB7E52">
            <w:pPr>
              <w:rPr>
                <w:lang w:val="fr-BE"/>
              </w:rPr>
            </w:pPr>
            <w:r>
              <w:rPr>
                <w:lang w:val="fr-BE"/>
              </w:rPr>
              <w:t>BAGATA</w:t>
            </w:r>
          </w:p>
        </w:tc>
        <w:tc>
          <w:tcPr>
            <w:tcW w:w="3653" w:type="dxa"/>
            <w:gridSpan w:val="2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Groupement, quartier</w:t>
            </w:r>
          </w:p>
        </w:tc>
        <w:tc>
          <w:tcPr>
            <w:tcW w:w="1980" w:type="dxa"/>
            <w:vAlign w:val="center"/>
          </w:tcPr>
          <w:p w:rsidR="00EB7E52" w:rsidRDefault="00EB7E52" w:rsidP="00EB7E52">
            <w:pPr>
              <w:rPr>
                <w:lang w:val="fr-BE"/>
              </w:rPr>
            </w:pPr>
          </w:p>
        </w:tc>
      </w:tr>
      <w:tr w:rsidR="00EB7E52" w:rsidTr="004556CB">
        <w:trPr>
          <w:trHeight w:val="340"/>
        </w:trPr>
        <w:tc>
          <w:tcPr>
            <w:tcW w:w="2356" w:type="dxa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Zone de Santé</w:t>
            </w:r>
          </w:p>
        </w:tc>
        <w:tc>
          <w:tcPr>
            <w:tcW w:w="1073" w:type="dxa"/>
            <w:vAlign w:val="center"/>
          </w:tcPr>
          <w:p w:rsidR="00EB7E52" w:rsidRDefault="00BE5516" w:rsidP="00EB7E52">
            <w:pPr>
              <w:rPr>
                <w:lang w:val="fr-BE"/>
              </w:rPr>
            </w:pPr>
            <w:r>
              <w:rPr>
                <w:lang w:val="fr-BE"/>
              </w:rPr>
              <w:t>KIKONGO</w:t>
            </w:r>
          </w:p>
        </w:tc>
        <w:tc>
          <w:tcPr>
            <w:tcW w:w="3653" w:type="dxa"/>
            <w:gridSpan w:val="2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Village, avenue</w:t>
            </w:r>
          </w:p>
        </w:tc>
        <w:tc>
          <w:tcPr>
            <w:tcW w:w="1980" w:type="dxa"/>
            <w:vAlign w:val="center"/>
          </w:tcPr>
          <w:p w:rsidR="00EB7E52" w:rsidRDefault="00BE5516" w:rsidP="00EB7E52">
            <w:pPr>
              <w:rPr>
                <w:lang w:val="fr-BE"/>
              </w:rPr>
            </w:pPr>
            <w:r>
              <w:rPr>
                <w:lang w:val="fr-BE"/>
              </w:rPr>
              <w:t>FATUNDU, MISAY</w:t>
            </w:r>
          </w:p>
        </w:tc>
      </w:tr>
      <w:tr w:rsidR="00EB7E52" w:rsidTr="00EB7E52">
        <w:trPr>
          <w:trHeight w:val="340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EB7E52" w:rsidRPr="00EB7E52" w:rsidRDefault="00EB7E52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Description</w:t>
            </w:r>
          </w:p>
        </w:tc>
      </w:tr>
      <w:tr w:rsidR="00EB7E52" w:rsidTr="00EB7E52">
        <w:trPr>
          <w:trHeight w:val="340"/>
        </w:trPr>
        <w:tc>
          <w:tcPr>
            <w:tcW w:w="9062" w:type="dxa"/>
            <w:gridSpan w:val="5"/>
            <w:vAlign w:val="center"/>
          </w:tcPr>
          <w:p w:rsidR="00EB7E52" w:rsidRDefault="00964210" w:rsidP="00427D92">
            <w:pPr>
              <w:spacing w:before="60"/>
              <w:ind w:left="176" w:right="170"/>
              <w:jc w:val="both"/>
            </w:pPr>
            <w:r>
              <w:t xml:space="preserve">Faisant suite aux affrontements entre les FARDC et les </w:t>
            </w:r>
            <w:proofErr w:type="spellStart"/>
            <w:r>
              <w:t>Mobondo</w:t>
            </w:r>
            <w:proofErr w:type="spellEnd"/>
            <w:r>
              <w:t xml:space="preserve"> sur la RN-17 entre </w:t>
            </w:r>
            <w:proofErr w:type="spellStart"/>
            <w:r>
              <w:t>Masia-Mbio</w:t>
            </w:r>
            <w:proofErr w:type="spellEnd"/>
            <w:r>
              <w:t xml:space="preserve"> et </w:t>
            </w:r>
            <w:proofErr w:type="spellStart"/>
            <w:r>
              <w:t>Etumba</w:t>
            </w:r>
            <w:proofErr w:type="spellEnd"/>
            <w:r>
              <w:t xml:space="preserve"> Na </w:t>
            </w:r>
            <w:proofErr w:type="spellStart"/>
            <w:r>
              <w:t>Ngwaka</w:t>
            </w:r>
            <w:proofErr w:type="spellEnd"/>
            <w:r>
              <w:t xml:space="preserve"> début janvier 2024, les miliciens se sont dispersés.</w:t>
            </w:r>
          </w:p>
          <w:p w:rsidR="00964210" w:rsidRDefault="00964210" w:rsidP="00427D92">
            <w:pPr>
              <w:spacing w:before="60"/>
              <w:ind w:left="176" w:right="170"/>
              <w:jc w:val="both"/>
            </w:pPr>
            <w:r w:rsidRPr="00964210">
              <w:t xml:space="preserve">Le dimanche 07 janvier, le village </w:t>
            </w:r>
            <w:proofErr w:type="spellStart"/>
            <w:r w:rsidRPr="00964210">
              <w:t>Buntsie</w:t>
            </w:r>
            <w:proofErr w:type="spellEnd"/>
            <w:r w:rsidRPr="00964210">
              <w:t xml:space="preserve"> a été attaqué à 5h du matin par les assaillants</w:t>
            </w:r>
            <w:r>
              <w:t xml:space="preserve">, dans le territoire de Kwamouth au Groupement </w:t>
            </w:r>
            <w:proofErr w:type="spellStart"/>
            <w:r>
              <w:t>Banku</w:t>
            </w:r>
            <w:proofErr w:type="spellEnd"/>
            <w:r>
              <w:t xml:space="preserve">. Le bilan provisoire fait état de </w:t>
            </w:r>
            <w:r w:rsidRPr="00964210">
              <w:t>8 morts (6 hommes, 1 femme et 1 jeune fille) et 12 disparus du côté des habitants.</w:t>
            </w:r>
            <w:r>
              <w:t xml:space="preserve"> </w:t>
            </w:r>
            <w:r w:rsidRPr="00964210">
              <w:t>Toutes les maisons ont été incendiées ainsi que le dispensaire, l'école primaire, église, etc.</w:t>
            </w:r>
            <w:r>
              <w:t xml:space="preserve"> </w:t>
            </w:r>
          </w:p>
          <w:p w:rsidR="00964210" w:rsidRPr="00427D92" w:rsidRDefault="00964210" w:rsidP="00427D92">
            <w:pPr>
              <w:spacing w:before="60"/>
              <w:ind w:left="176" w:right="170"/>
              <w:jc w:val="both"/>
            </w:pPr>
            <w:r>
              <w:t xml:space="preserve">Le 20 janvier, c’est le village de </w:t>
            </w:r>
            <w:proofErr w:type="spellStart"/>
            <w:r>
              <w:t>Kisia</w:t>
            </w:r>
            <w:proofErr w:type="spellEnd"/>
            <w:r>
              <w:t xml:space="preserve"> </w:t>
            </w:r>
            <w:proofErr w:type="spellStart"/>
            <w:r>
              <w:t>Kiambulu</w:t>
            </w:r>
            <w:proofErr w:type="spellEnd"/>
            <w:r>
              <w:t xml:space="preserve"> </w:t>
            </w:r>
            <w:r w:rsidRPr="00427D92">
              <w:t xml:space="preserve">sur la rive droite de la rivière Kwango au Secteur de la Wamba, à,100 km de </w:t>
            </w:r>
            <w:proofErr w:type="spellStart"/>
            <w:r w:rsidRPr="00427D92">
              <w:t>Fatundu</w:t>
            </w:r>
            <w:proofErr w:type="spellEnd"/>
            <w:r w:rsidRPr="00427D92">
              <w:t>, qui est attaqué, faisant 7 morts et quelques blessés.</w:t>
            </w:r>
          </w:p>
          <w:p w:rsidR="00964210" w:rsidRDefault="00964210" w:rsidP="00427D92">
            <w:pPr>
              <w:spacing w:before="60"/>
              <w:ind w:left="176" w:right="170"/>
              <w:jc w:val="both"/>
            </w:pPr>
            <w:r>
              <w:t xml:space="preserve">Le 22 janvier, les </w:t>
            </w:r>
            <w:proofErr w:type="spellStart"/>
            <w:r>
              <w:t>Mobondo</w:t>
            </w:r>
            <w:proofErr w:type="spellEnd"/>
            <w:r>
              <w:t xml:space="preserve"> font incursion dans le village </w:t>
            </w:r>
            <w:proofErr w:type="spellStart"/>
            <w:r>
              <w:t>Fadiaka</w:t>
            </w:r>
            <w:proofErr w:type="spellEnd"/>
            <w:r>
              <w:t xml:space="preserve">, dans le </w:t>
            </w:r>
            <w:r w:rsidRPr="00427D92">
              <w:t xml:space="preserve">groupement de </w:t>
            </w:r>
            <w:proofErr w:type="spellStart"/>
            <w:r w:rsidRPr="00427D92">
              <w:t>Buku</w:t>
            </w:r>
            <w:proofErr w:type="spellEnd"/>
            <w:r w:rsidRPr="00427D92">
              <w:t xml:space="preserve">, sur la rive droite du Kwango à 130 km de </w:t>
            </w:r>
            <w:proofErr w:type="spellStart"/>
            <w:r w:rsidRPr="00427D92">
              <w:t>Fatundu</w:t>
            </w:r>
            <w:proofErr w:type="spellEnd"/>
            <w:r w:rsidRPr="00427D92">
              <w:t xml:space="preserve">. Le bilan provisoire est de </w:t>
            </w:r>
            <w:r w:rsidRPr="00427D92">
              <w:t xml:space="preserve">11 morts : </w:t>
            </w:r>
            <w:r w:rsidRPr="00427D92">
              <w:t>1 homme, 2 femmes et 8 enfants, et p</w:t>
            </w:r>
            <w:r w:rsidRPr="00427D92">
              <w:t>lusieurs blessés dont parmi eux 2 enfants grièvement blessé.</w:t>
            </w:r>
          </w:p>
          <w:p w:rsidR="00964210" w:rsidRDefault="00427D92" w:rsidP="00427D92">
            <w:pPr>
              <w:spacing w:before="60"/>
              <w:ind w:left="176" w:right="170"/>
              <w:jc w:val="both"/>
            </w:pPr>
            <w:r>
              <w:t xml:space="preserve">Ces affrontements et attaques ont provoqué plusieurs vagues de déplacement dans le Secteur de la Wamba dans la zone de santé de Kikongo vers les villages de </w:t>
            </w:r>
            <w:proofErr w:type="spellStart"/>
            <w:r w:rsidRPr="00427D92">
              <w:t>Fatundu</w:t>
            </w:r>
            <w:proofErr w:type="spellEnd"/>
            <w:r w:rsidRPr="00427D92">
              <w:t xml:space="preserve">, </w:t>
            </w:r>
            <w:proofErr w:type="spellStart"/>
            <w:r w:rsidRPr="00427D92">
              <w:t>Kingala-Nkiana</w:t>
            </w:r>
            <w:proofErr w:type="spellEnd"/>
            <w:r w:rsidRPr="00427D92">
              <w:t xml:space="preserve">, </w:t>
            </w:r>
            <w:proofErr w:type="spellStart"/>
            <w:r w:rsidRPr="00427D92">
              <w:t>Misay</w:t>
            </w:r>
            <w:proofErr w:type="spellEnd"/>
            <w:r>
              <w:t xml:space="preserve">, </w:t>
            </w:r>
            <w:proofErr w:type="spellStart"/>
            <w:r w:rsidRPr="00427D92">
              <w:t>Fambondo</w:t>
            </w:r>
            <w:proofErr w:type="spellEnd"/>
            <w:r w:rsidRPr="00427D92">
              <w:t xml:space="preserve">, </w:t>
            </w:r>
            <w:proofErr w:type="spellStart"/>
            <w:r w:rsidRPr="00427D92">
              <w:t>Fasila</w:t>
            </w:r>
            <w:proofErr w:type="spellEnd"/>
            <w:r w:rsidRPr="00427D92">
              <w:t xml:space="preserve"> et autres villages aux environs.</w:t>
            </w:r>
            <w:r>
              <w:t xml:space="preserve"> Ces déplacés vivent soit dans des familles d’accueil, soit dans des églises et des écoles qu’ils doivent le quitter le matin pour n’y revenir que le soir.</w:t>
            </w:r>
          </w:p>
          <w:p w:rsidR="00427D92" w:rsidRDefault="00427D92" w:rsidP="00427D92">
            <w:pPr>
              <w:spacing w:before="60"/>
              <w:ind w:left="176" w:right="170"/>
              <w:jc w:val="both"/>
            </w:pPr>
            <w:r w:rsidRPr="00427D92">
              <w:t xml:space="preserve">A </w:t>
            </w:r>
            <w:proofErr w:type="spellStart"/>
            <w:r w:rsidR="00964210" w:rsidRPr="00427D92">
              <w:t>Fatundu</w:t>
            </w:r>
            <w:proofErr w:type="spellEnd"/>
            <w:r w:rsidR="00964210" w:rsidRPr="00427D92">
              <w:t xml:space="preserve"> et villages environnants</w:t>
            </w:r>
            <w:r w:rsidR="004556CB">
              <w:t>, au 25 janvier</w:t>
            </w:r>
            <w:r w:rsidRPr="00427D92">
              <w:t>, il y avait</w:t>
            </w:r>
            <w:r w:rsidR="00964210" w:rsidRPr="00427D92">
              <w:t>: 5</w:t>
            </w:r>
            <w:r w:rsidRPr="00427D92">
              <w:t>.969 déplacés parmi eux il y a 2.102 femmes, 1.533</w:t>
            </w:r>
            <w:r w:rsidR="00964210" w:rsidRPr="00427D92">
              <w:t xml:space="preserve"> hommes, </w:t>
            </w:r>
            <w:r w:rsidRPr="00427D92">
              <w:t>1.356 filles et 978</w:t>
            </w:r>
            <w:r w:rsidR="00964210" w:rsidRPr="00427D92">
              <w:t xml:space="preserve"> garçons</w:t>
            </w:r>
            <w:r>
              <w:t>.</w:t>
            </w:r>
          </w:p>
          <w:p w:rsidR="00964210" w:rsidRDefault="00427D92" w:rsidP="00427D92">
            <w:pPr>
              <w:spacing w:before="60"/>
              <w:ind w:left="176" w:right="170"/>
              <w:jc w:val="both"/>
            </w:pPr>
            <w:r>
              <w:t xml:space="preserve">A </w:t>
            </w:r>
            <w:proofErr w:type="spellStart"/>
            <w:r w:rsidR="00964210" w:rsidRPr="00427D92">
              <w:t>Misay</w:t>
            </w:r>
            <w:proofErr w:type="spellEnd"/>
            <w:r w:rsidR="00964210" w:rsidRPr="00427D92">
              <w:t xml:space="preserve"> et villages environnants</w:t>
            </w:r>
            <w:r w:rsidRPr="00427D92">
              <w:t xml:space="preserve"> la dernière actualisation des données des </w:t>
            </w:r>
            <w:proofErr w:type="spellStart"/>
            <w:r w:rsidRPr="00427D92">
              <w:t>IDPs</w:t>
            </w:r>
            <w:proofErr w:type="spellEnd"/>
            <w:r w:rsidRPr="00427D92">
              <w:t xml:space="preserve"> a donné : 11.184</w:t>
            </w:r>
            <w:r w:rsidR="00964210" w:rsidRPr="00427D92">
              <w:t xml:space="preserve"> personnes déplacées parmi </w:t>
            </w:r>
            <w:r w:rsidRPr="00427D92">
              <w:t>elles il y a 2.150 femmes, 2.984 hommes, 2</w:t>
            </w:r>
            <w:r w:rsidRPr="00427D92">
              <w:t>.872 filles</w:t>
            </w:r>
            <w:r w:rsidRPr="00427D92">
              <w:t xml:space="preserve"> et 3.178 garçons.</w:t>
            </w:r>
          </w:p>
          <w:p w:rsidR="004556CB" w:rsidRPr="00964210" w:rsidRDefault="004556CB" w:rsidP="00427D92">
            <w:pPr>
              <w:spacing w:before="60"/>
              <w:ind w:left="176" w:right="170"/>
              <w:jc w:val="both"/>
            </w:pPr>
          </w:p>
        </w:tc>
      </w:tr>
      <w:tr w:rsidR="004556CB" w:rsidTr="004556CB">
        <w:trPr>
          <w:trHeight w:val="340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4556CB" w:rsidRPr="004556CB" w:rsidRDefault="004556CB" w:rsidP="004556CB">
            <w:pPr>
              <w:ind w:left="176" w:right="170"/>
              <w:jc w:val="both"/>
              <w:rPr>
                <w:b/>
              </w:rPr>
            </w:pPr>
            <w:r w:rsidRPr="004556CB">
              <w:rPr>
                <w:b/>
              </w:rPr>
              <w:t>Document joint :</w:t>
            </w:r>
          </w:p>
        </w:tc>
        <w:tc>
          <w:tcPr>
            <w:tcW w:w="6706" w:type="dxa"/>
            <w:gridSpan w:val="4"/>
            <w:vAlign w:val="center"/>
          </w:tcPr>
          <w:p w:rsidR="004556CB" w:rsidRDefault="004556CB" w:rsidP="004556CB">
            <w:pPr>
              <w:ind w:left="176" w:right="170"/>
              <w:jc w:val="both"/>
            </w:pPr>
            <w:r>
              <w:t xml:space="preserve">Statistique de </w:t>
            </w:r>
            <w:proofErr w:type="spellStart"/>
            <w:r>
              <w:t>Misay</w:t>
            </w:r>
            <w:proofErr w:type="spellEnd"/>
            <w:r>
              <w:t xml:space="preserve"> et villages environnants par le Bourgmestre</w:t>
            </w:r>
          </w:p>
        </w:tc>
      </w:tr>
    </w:tbl>
    <w:p w:rsidR="00A8299B" w:rsidRDefault="00A8299B">
      <w:pPr>
        <w:rPr>
          <w:lang w:val="fr-BE"/>
        </w:rPr>
      </w:pPr>
    </w:p>
    <w:p w:rsidR="00A8299B" w:rsidRPr="00A8299B" w:rsidRDefault="00A8299B">
      <w:pPr>
        <w:rPr>
          <w:lang w:val="fr-BE"/>
        </w:rPr>
      </w:pPr>
    </w:p>
    <w:sectPr w:rsidR="00A8299B" w:rsidRPr="00A8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9B"/>
    <w:rsid w:val="00427D92"/>
    <w:rsid w:val="004556CB"/>
    <w:rsid w:val="00697D4D"/>
    <w:rsid w:val="00964210"/>
    <w:rsid w:val="00A8299B"/>
    <w:rsid w:val="00BE5516"/>
    <w:rsid w:val="00E3490E"/>
    <w:rsid w:val="00E37EBC"/>
    <w:rsid w:val="00E8315A"/>
    <w:rsid w:val="00EB7E52"/>
    <w:rsid w:val="00E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9771"/>
  <w15:chartTrackingRefBased/>
  <w15:docId w15:val="{80194EFC-47F7-4829-9DD6-2A98B9E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Maquart Juliette</dc:creator>
  <cp:keywords/>
  <dc:description/>
  <cp:lastModifiedBy>Maquart Juliette</cp:lastModifiedBy>
  <cp:revision>6</cp:revision>
  <dcterms:created xsi:type="dcterms:W3CDTF">2024-02-16T13:36:00Z</dcterms:created>
  <dcterms:modified xsi:type="dcterms:W3CDTF">2024-02-16T14:10:00Z</dcterms:modified>
</cp:coreProperties>
</file>