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EF79D" w14:textId="77777777" w:rsidR="00970BC9" w:rsidRPr="003D46BD" w:rsidRDefault="00F845CE" w:rsidP="00970BC9">
      <w:pPr>
        <w:pStyle w:val="Heading1"/>
        <w:spacing w:before="240" w:after="0" w:line="256" w:lineRule="auto"/>
        <w:rPr>
          <w:rFonts w:ascii="Times New Roman" w:hAnsi="Times New Roman" w:cs="Times New Roman"/>
          <w:bCs w:val="0"/>
          <w:sz w:val="24"/>
          <w:szCs w:val="24"/>
        </w:rPr>
      </w:pPr>
      <w:bookmarkStart w:id="0" w:name="_Hlk40609340"/>
      <w:bookmarkEnd w:id="0"/>
      <w:r w:rsidRPr="003D46B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3360" behindDoc="0" locked="0" layoutInCell="1" allowOverlap="1" wp14:anchorId="414AA0F4" wp14:editId="670D7A5E">
            <wp:simplePos x="0" y="0"/>
            <wp:positionH relativeFrom="column">
              <wp:posOffset>4243705</wp:posOffset>
            </wp:positionH>
            <wp:positionV relativeFrom="paragraph">
              <wp:posOffset>-623570</wp:posOffset>
            </wp:positionV>
            <wp:extent cx="1399683" cy="1152525"/>
            <wp:effectExtent l="0" t="0" r="0" b="0"/>
            <wp:wrapNone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997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46B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0" locked="0" layoutInCell="1" allowOverlap="1" wp14:anchorId="0B1C5E2A" wp14:editId="5A5527F4">
            <wp:simplePos x="0" y="0"/>
            <wp:positionH relativeFrom="column">
              <wp:posOffset>-461645</wp:posOffset>
            </wp:positionH>
            <wp:positionV relativeFrom="paragraph">
              <wp:posOffset>-680719</wp:posOffset>
            </wp:positionV>
            <wp:extent cx="2066925" cy="1276350"/>
            <wp:effectExtent l="0" t="0" r="9525" b="0"/>
            <wp:wrapNone/>
            <wp:docPr id="8" name="Image 2" descr="Logo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5835" cy="1275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E12F6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3D0A2170" w14:textId="77777777" w:rsidR="00F845CE" w:rsidRPr="003D46BD" w:rsidRDefault="00E35709" w:rsidP="00F845CE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EAAC69" wp14:editId="38E4F9C8">
                <wp:simplePos x="0" y="0"/>
                <wp:positionH relativeFrom="column">
                  <wp:posOffset>-567690</wp:posOffset>
                </wp:positionH>
                <wp:positionV relativeFrom="paragraph">
                  <wp:posOffset>2628265</wp:posOffset>
                </wp:positionV>
                <wp:extent cx="3353435" cy="635"/>
                <wp:effectExtent l="0" t="0" r="0" b="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3435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FD42F95" w14:textId="77777777" w:rsidR="00E35709" w:rsidRPr="00E35709" w:rsidRDefault="00E35709" w:rsidP="00E35709">
                            <w:pPr>
                              <w:pStyle w:val="Caption"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E35709">
                              <w:rPr>
                                <w:color w:val="auto"/>
                              </w:rPr>
                              <w:t xml:space="preserve">Entretien avec les informateurs clés de </w:t>
                            </w:r>
                            <w:proofErr w:type="spellStart"/>
                            <w:r w:rsidRPr="00E35709">
                              <w:rPr>
                                <w:color w:val="auto"/>
                              </w:rPr>
                              <w:t>Gikoro</w:t>
                            </w:r>
                            <w:proofErr w:type="spellEnd"/>
                            <w:r w:rsidRPr="00E35709">
                              <w:rPr>
                                <w:color w:val="auto"/>
                              </w:rPr>
                              <w:t>, Groupement de Jomba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EAAC6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44.7pt;margin-top:206.95pt;width:264.05pt;height:.0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" stroked="f">
                <v:textbox style="mso-fit-shape-to-text:t" inset="0,0,0,0">
                  <w:txbxContent>
                    <w:p w14:paraId="5FD42F95" w14:textId="77777777" w:rsidR="00E35709" w:rsidRPr="00E35709" w:rsidRDefault="00E35709" w:rsidP="00E35709">
                      <w:pPr>
                        <w:pStyle w:val="Caption"/>
                        <w:jc w:val="both"/>
                        <w:rPr>
                          <w:rFonts w:ascii="Times New Roman" w:hAnsi="Times New Roman" w:cs="Times New Roman"/>
                          <w:noProof/>
                          <w:color w:val="auto"/>
                          <w:sz w:val="24"/>
                          <w:szCs w:val="24"/>
                        </w:rPr>
                      </w:pPr>
                      <w:r w:rsidRPr="00E35709">
                        <w:rPr>
                          <w:color w:val="auto"/>
                        </w:rPr>
                        <w:t xml:space="preserve">Entretien avec les informateurs clés de </w:t>
                      </w:r>
                      <w:proofErr w:type="spellStart"/>
                      <w:r w:rsidRPr="00E35709">
                        <w:rPr>
                          <w:color w:val="auto"/>
                        </w:rPr>
                        <w:t>Gikoro</w:t>
                      </w:r>
                      <w:proofErr w:type="spellEnd"/>
                      <w:r w:rsidRPr="00E35709">
                        <w:rPr>
                          <w:color w:val="auto"/>
                        </w:rPr>
                        <w:t>, Groupement de Jomba</w:t>
                      </w:r>
                    </w:p>
                  </w:txbxContent>
                </v:textbox>
              </v:shape>
            </w:pict>
          </mc:Fallback>
        </mc:AlternateContent>
      </w:r>
      <w:r w:rsidR="00293B89" w:rsidRPr="003D46B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4384" behindDoc="0" locked="0" layoutInCell="1" allowOverlap="1" wp14:anchorId="434F4BFE" wp14:editId="54231D0C">
            <wp:simplePos x="0" y="0"/>
            <wp:positionH relativeFrom="column">
              <wp:posOffset>-567690</wp:posOffset>
            </wp:positionH>
            <wp:positionV relativeFrom="paragraph">
              <wp:posOffset>56515</wp:posOffset>
            </wp:positionV>
            <wp:extent cx="3353435" cy="2514600"/>
            <wp:effectExtent l="0" t="0" r="0" b="0"/>
            <wp:wrapNone/>
            <wp:docPr id="7" name="Image 7" descr="C:\Users\CLEMENT\AppData\Local\Microsoft\Windows\Temporary Internet Files\Content.Word\IMG_20211111_112458_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EMENT\AppData\Local\Microsoft\Windows\Temporary Internet Files\Content.Word\IMG_20211111_112458_04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343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1E4407" wp14:editId="3E24A53F">
                <wp:simplePos x="0" y="0"/>
                <wp:positionH relativeFrom="column">
                  <wp:posOffset>2929255</wp:posOffset>
                </wp:positionH>
                <wp:positionV relativeFrom="paragraph">
                  <wp:posOffset>2627630</wp:posOffset>
                </wp:positionV>
                <wp:extent cx="3352800" cy="635"/>
                <wp:effectExtent l="0" t="0" r="0" b="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85474D7" w14:textId="77777777" w:rsidR="00E35709" w:rsidRPr="00E35709" w:rsidRDefault="00E35709" w:rsidP="00E35709">
                            <w:pPr>
                              <w:pStyle w:val="Caption"/>
                              <w:jc w:val="both"/>
                              <w:rPr>
                                <w:noProof/>
                                <w:color w:val="auto"/>
                              </w:rPr>
                            </w:pPr>
                            <w:r w:rsidRPr="00E35709">
                              <w:rPr>
                                <w:color w:val="auto"/>
                              </w:rPr>
                              <w:t xml:space="preserve">Après l'entretien avec les informateurs clés de </w:t>
                            </w:r>
                            <w:proofErr w:type="spellStart"/>
                            <w:r w:rsidRPr="00E35709">
                              <w:rPr>
                                <w:color w:val="auto"/>
                              </w:rPr>
                              <w:t>Burere</w:t>
                            </w:r>
                            <w:proofErr w:type="spellEnd"/>
                            <w:r w:rsidRPr="00E35709">
                              <w:rPr>
                                <w:color w:val="auto"/>
                              </w:rPr>
                              <w:t xml:space="preserve">, Groupement de </w:t>
                            </w:r>
                            <w:proofErr w:type="spellStart"/>
                            <w:r w:rsidRPr="00E35709">
                              <w:rPr>
                                <w:color w:val="auto"/>
                              </w:rPr>
                              <w:t>Bweza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E4407" id="Zone de texte 11" o:spid="_x0000_s1027" type="#_x0000_t202" style="position:absolute;margin-left:230.65pt;margin-top:206.9pt;width:264pt;height: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" stroked="f">
                <v:textbox style="mso-fit-shape-to-text:t" inset="0,0,0,0">
                  <w:txbxContent>
                    <w:p w14:paraId="285474D7" w14:textId="77777777" w:rsidR="00E35709" w:rsidRPr="00E35709" w:rsidRDefault="00E35709" w:rsidP="00E35709">
                      <w:pPr>
                        <w:pStyle w:val="Caption"/>
                        <w:jc w:val="both"/>
                        <w:rPr>
                          <w:noProof/>
                          <w:color w:val="auto"/>
                        </w:rPr>
                      </w:pPr>
                      <w:r w:rsidRPr="00E35709">
                        <w:rPr>
                          <w:color w:val="auto"/>
                        </w:rPr>
                        <w:t xml:space="preserve">Après l'entretien avec les informateurs clés de </w:t>
                      </w:r>
                      <w:proofErr w:type="spellStart"/>
                      <w:r w:rsidRPr="00E35709">
                        <w:rPr>
                          <w:color w:val="auto"/>
                        </w:rPr>
                        <w:t>Burere</w:t>
                      </w:r>
                      <w:proofErr w:type="spellEnd"/>
                      <w:r w:rsidRPr="00E35709">
                        <w:rPr>
                          <w:color w:val="auto"/>
                        </w:rPr>
                        <w:t xml:space="preserve">, Groupement de </w:t>
                      </w:r>
                      <w:proofErr w:type="spellStart"/>
                      <w:r w:rsidRPr="00E35709">
                        <w:rPr>
                          <w:color w:val="auto"/>
                        </w:rPr>
                        <w:t>Bweza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93B89" w:rsidRPr="003D46BD"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5408" behindDoc="0" locked="0" layoutInCell="1" allowOverlap="1" wp14:anchorId="1EE44086" wp14:editId="358C17F7">
            <wp:simplePos x="0" y="0"/>
            <wp:positionH relativeFrom="column">
              <wp:posOffset>2929255</wp:posOffset>
            </wp:positionH>
            <wp:positionV relativeFrom="paragraph">
              <wp:posOffset>56515</wp:posOffset>
            </wp:positionV>
            <wp:extent cx="3352800" cy="2513965"/>
            <wp:effectExtent l="0" t="0" r="0" b="635"/>
            <wp:wrapNone/>
            <wp:docPr id="9" name="Image 9" descr="C:\Users\CLEMENT\AppData\Local\Microsoft\Windows\Temporary Internet Files\Content.Word\IMG_20211111_110727_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LEMENT\AppData\Local\Microsoft\Windows\Temporary Internet Files\Content.Word\IMG_20211111_110727_46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5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B196C2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FF17ED8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4E9C13A9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4AB2983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45646EBD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38F934EF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4B707A5B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3512E47A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30D3F9FB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  <w:r w:rsidRPr="003D46BD"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03CEA" wp14:editId="04ADC337">
                <wp:simplePos x="0" y="0"/>
                <wp:positionH relativeFrom="column">
                  <wp:posOffset>-175895</wp:posOffset>
                </wp:positionH>
                <wp:positionV relativeFrom="paragraph">
                  <wp:posOffset>239395</wp:posOffset>
                </wp:positionV>
                <wp:extent cx="6238875" cy="942975"/>
                <wp:effectExtent l="0" t="0" r="28575" b="28575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9429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C8D7A" w14:textId="77777777" w:rsidR="00F845CE" w:rsidRDefault="00F845CE" w:rsidP="00293B89">
                            <w:pPr>
                              <w:jc w:val="both"/>
                            </w:pPr>
                            <w:r>
                              <w:rPr>
                                <w:rFonts w:ascii="Times New Roman" w:hAnsi="Times New Roman" w:cs="Times New Roman"/>
                                <w:caps/>
                                <w:color w:val="1F497D" w:themeColor="text2"/>
                                <w:sz w:val="24"/>
                              </w:rPr>
                              <w:t>rapport de l’evaluation preliminaire dans la zone de retour. LOCALITE DE GIKORO DANS LE GROUPEMENT DE JOMBA ET LA LOCALITE DE BURERE DANS LE GROUPEMENT DE BWEZA LE 11/11/2021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A803CEA" id="Rectangle à coins arrondis 3" o:spid="_x0000_s1028" style="position:absolute;margin-left:-13.85pt;margin-top:18.85pt;width:491.25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" fillcolor="white [3201]" strokecolor="black [3200]" strokeweight="2pt">
                <v:textbox>
                  <w:txbxContent>
                    <w:p w14:paraId="390C8D7A" w14:textId="77777777" w:rsidR="00F845CE" w:rsidRDefault="00F845CE" w:rsidP="00293B89">
                      <w:pPr>
                        <w:jc w:val="both"/>
                      </w:pPr>
                      <w:r>
                        <w:rPr>
                          <w:rFonts w:ascii="Times New Roman" w:hAnsi="Times New Roman" w:cs="Times New Roman"/>
                          <w:caps/>
                          <w:color w:val="1F497D" w:themeColor="text2"/>
                          <w:sz w:val="24"/>
                        </w:rPr>
                        <w:t>rapport de l’evaluation preliminaire dans la zone de retour. LOCALITE DE GIKORO DANS LE GROUPEMENT DE JOMBA ET LA LOCALITE DE BURERE DANS LE GROUPEMENT DE BWEZA LE 11/11/2021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F29EDF8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169B307E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AA00CBE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4915ACFD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F9A4930" w14:textId="77777777" w:rsidR="00F845CE" w:rsidRPr="003D46BD" w:rsidRDefault="00F845CE" w:rsidP="00F845CE">
      <w:pPr>
        <w:rPr>
          <w:rFonts w:ascii="Times New Roman" w:hAnsi="Times New Roman" w:cs="Times New Roman"/>
          <w:b/>
          <w:sz w:val="24"/>
          <w:szCs w:val="24"/>
        </w:rPr>
      </w:pPr>
      <w:r w:rsidRPr="003D46BD">
        <w:rPr>
          <w:rFonts w:ascii="Times New Roman" w:hAnsi="Times New Roman" w:cs="Times New Roman"/>
          <w:b/>
          <w:sz w:val="24"/>
          <w:szCs w:val="24"/>
        </w:rPr>
        <w:t>Equipe technique :</w:t>
      </w:r>
    </w:p>
    <w:p w14:paraId="3CF6AA21" w14:textId="77777777" w:rsidR="00F845CE" w:rsidRPr="003D46BD" w:rsidRDefault="00F845CE" w:rsidP="00F845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D46BD">
        <w:rPr>
          <w:rFonts w:ascii="Times New Roman" w:hAnsi="Times New Roman" w:cs="Times New Roman"/>
          <w:b/>
          <w:sz w:val="24"/>
          <w:szCs w:val="24"/>
        </w:rPr>
        <w:t>Clément NTABWOBA de l’ONG FEMISA</w:t>
      </w:r>
    </w:p>
    <w:p w14:paraId="5DE978D9" w14:textId="77777777" w:rsidR="00F845CE" w:rsidRPr="003D46BD" w:rsidRDefault="00F845CE" w:rsidP="00F845CE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D46BD">
        <w:rPr>
          <w:rFonts w:ascii="Times New Roman" w:hAnsi="Times New Roman" w:cs="Times New Roman"/>
          <w:b/>
          <w:sz w:val="24"/>
          <w:szCs w:val="24"/>
        </w:rPr>
        <w:t>Ernest BAKUNZI de l’ONG UPDDHE/GL</w:t>
      </w:r>
    </w:p>
    <w:p w14:paraId="60CDF3E6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8129AF1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CCEE7F7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08A5D576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5CFAC477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1B4FF6B4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65B81953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p w14:paraId="62B07F5C" w14:textId="77777777" w:rsidR="00F845CE" w:rsidRPr="003D46BD" w:rsidRDefault="00F845CE" w:rsidP="00F845C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953" w:type="dxa"/>
        <w:tblInd w:w="-91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6" w:space="0" w:color="0070C0"/>
          <w:insideV w:val="single" w:sz="6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8805"/>
      </w:tblGrid>
      <w:tr w:rsidR="00970BC9" w:rsidRPr="003D46BD" w14:paraId="51F6DE28" w14:textId="77777777" w:rsidTr="008F094E">
        <w:trPr>
          <w:trHeight w:val="226"/>
        </w:trPr>
        <w:tc>
          <w:tcPr>
            <w:tcW w:w="2148" w:type="dxa"/>
            <w:shd w:val="clear" w:color="auto" w:fill="EEECE1" w:themeFill="background2"/>
            <w:vAlign w:val="center"/>
          </w:tcPr>
          <w:p w14:paraId="2812D014" w14:textId="77777777" w:rsidR="00970BC9" w:rsidRPr="003D46BD" w:rsidRDefault="00970BC9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Période d’évaluation</w:t>
            </w:r>
          </w:p>
        </w:tc>
        <w:tc>
          <w:tcPr>
            <w:tcW w:w="8805" w:type="dxa"/>
            <w:vAlign w:val="center"/>
          </w:tcPr>
          <w:p w14:paraId="74C55911" w14:textId="77777777" w:rsidR="00970BC9" w:rsidRPr="003D46BD" w:rsidRDefault="00970BC9" w:rsidP="00970B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11Novembre 2021</w:t>
            </w:r>
          </w:p>
        </w:tc>
      </w:tr>
      <w:tr w:rsidR="00970BC9" w:rsidRPr="003D46BD" w14:paraId="1134F1C7" w14:textId="77777777" w:rsidTr="008F094E">
        <w:trPr>
          <w:trHeight w:val="226"/>
        </w:trPr>
        <w:tc>
          <w:tcPr>
            <w:tcW w:w="2148" w:type="dxa"/>
            <w:shd w:val="clear" w:color="auto" w:fill="EEECE1" w:themeFill="background2"/>
            <w:vAlign w:val="center"/>
          </w:tcPr>
          <w:p w14:paraId="06B57D7A" w14:textId="77777777" w:rsidR="00970BC9" w:rsidRPr="003D46BD" w:rsidRDefault="009352AD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Déclencheur</w:t>
            </w:r>
            <w:r w:rsidR="00970BC9"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 de l’évaluation</w:t>
            </w:r>
          </w:p>
        </w:tc>
        <w:tc>
          <w:tcPr>
            <w:tcW w:w="8805" w:type="dxa"/>
            <w:vAlign w:val="center"/>
          </w:tcPr>
          <w:p w14:paraId="7B9B55BB" w14:textId="77777777" w:rsidR="00970BC9" w:rsidRPr="003D46BD" w:rsidRDefault="00970BC9" w:rsidP="00970B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Déplacement des populations de la Localité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Groupement de Jomba et de la Localité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Burere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à la suite de l’attaque des rebelles dans ces localités.</w:t>
            </w:r>
          </w:p>
        </w:tc>
      </w:tr>
      <w:tr w:rsidR="00970BC9" w:rsidRPr="003D46BD" w14:paraId="693CFDF7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372C2919" w14:textId="77777777" w:rsidR="00970BC9" w:rsidRPr="003D46BD" w:rsidRDefault="00970BC9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Localités évaluées :</w:t>
            </w:r>
          </w:p>
        </w:tc>
        <w:tc>
          <w:tcPr>
            <w:tcW w:w="8805" w:type="dxa"/>
            <w:vAlign w:val="center"/>
          </w:tcPr>
          <w:p w14:paraId="34317AB3" w14:textId="77777777" w:rsidR="00970BC9" w:rsidRPr="003D46BD" w:rsidRDefault="00970BC9" w:rsidP="00FF42B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Localité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Groupement de Jomba et une partie de la Localité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Burere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Groupement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Bweza</w:t>
            </w:r>
            <w:proofErr w:type="spellEnd"/>
            <w:r w:rsidR="00FF42BE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la Zone de Santé de </w:t>
            </w:r>
            <w:proofErr w:type="spellStart"/>
            <w:r w:rsidR="00FF42BE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Rwanguba</w:t>
            </w:r>
            <w:proofErr w:type="spellEnd"/>
          </w:p>
        </w:tc>
      </w:tr>
      <w:tr w:rsidR="009352AD" w:rsidRPr="003D46BD" w14:paraId="0E394A13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63E7DDDF" w14:textId="77777777" w:rsidR="009352AD" w:rsidRPr="003D46BD" w:rsidRDefault="009352AD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Méthodologie utilisées </w:t>
            </w:r>
          </w:p>
        </w:tc>
        <w:tc>
          <w:tcPr>
            <w:tcW w:w="8805" w:type="dxa"/>
            <w:vAlign w:val="center"/>
          </w:tcPr>
          <w:p w14:paraId="5137987D" w14:textId="77777777" w:rsidR="009352AD" w:rsidRPr="003D46BD" w:rsidRDefault="009352AD" w:rsidP="009352AD">
            <w:pPr>
              <w:shd w:val="clear" w:color="auto" w:fill="FFFFFF" w:themeFill="background1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Pour obtenir les informations et les analyser, l’équipe de mission a recouru aux techniques suivantes : </w:t>
            </w:r>
          </w:p>
          <w:p w14:paraId="5CE1E380" w14:textId="77777777" w:rsidR="009352AD" w:rsidRPr="003D46BD" w:rsidRDefault="009352AD" w:rsidP="009352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L’entretien avec les informateurs clés : Chef de la Localité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Secretaire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la Localité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Tous les Chefs des villages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Burere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les noyaux de la société civile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Burere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</w:p>
          <w:p w14:paraId="60E19B83" w14:textId="77777777" w:rsidR="009352AD" w:rsidRPr="003D46BD" w:rsidRDefault="009352AD" w:rsidP="009352A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8 discussions de groupe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effectués des groupes séparés des retournées hommes et femmes</w:t>
            </w:r>
          </w:p>
          <w:p w14:paraId="4A17CDA7" w14:textId="77777777" w:rsidR="009352AD" w:rsidRPr="003D46BD" w:rsidRDefault="009352AD" w:rsidP="009352A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0BC9" w:rsidRPr="003D46BD" w14:paraId="7DF130FB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46DB7C8A" w14:textId="77777777" w:rsidR="00970BC9" w:rsidRPr="003D46BD" w:rsidRDefault="00970BC9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Mouvements de populations</w:t>
            </w:r>
          </w:p>
        </w:tc>
        <w:tc>
          <w:tcPr>
            <w:tcW w:w="8805" w:type="dxa"/>
            <w:vAlign w:val="center"/>
          </w:tcPr>
          <w:p w14:paraId="6D459877" w14:textId="77777777" w:rsidR="00FC32C8" w:rsidRPr="003D46BD" w:rsidRDefault="00FF42BE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Le Dimanche 07 Novembre 2021 vers 22h, il y a eu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l’incursion des rebelles 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dit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ex-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Mouvement 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du 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M23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qui </w:t>
            </w:r>
            <w:r w:rsidR="00FC32C8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a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attaqué les positions des militaires FARDC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Chanzu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Ndiza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dans 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Gikoro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en groupement Jomba. Ces 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deux villages ont été contrôlés par les rebelle</w:t>
            </w:r>
            <w:r w:rsidR="00FC32C8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s depuis 1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h jusqu’à</w:t>
            </w:r>
            <w:r w:rsidR="00FC32C8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9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heures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  <w:r w:rsidRPr="00970BC9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du 8 novembre</w:t>
            </w:r>
            <w:r w:rsidR="00FC32C8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.</w:t>
            </w:r>
          </w:p>
          <w:p w14:paraId="21F7015F" w14:textId="77777777" w:rsidR="00FC32C8" w:rsidRPr="00FC32C8" w:rsidRDefault="00FC32C8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Vers 13h, 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Les villages de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Chanzu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Kinyangurube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Gatsibo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Rwunga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Karabiro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Nyaruba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Kariba,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Runyoni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Gisiza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étaient déjà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entre les mains des rebelles. Un mouvement massif </w:t>
            </w:r>
            <w:r w:rsidR="00090A32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de déplacement 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des populations vers l'Ouganda via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bunagana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Busanza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a été 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observé. D'autres personnes se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sont dirigées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vers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Cheya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proofErr w:type="gram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Kinyamahura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Tchengerero</w:t>
            </w:r>
            <w:proofErr w:type="spellEnd"/>
            <w:proofErr w:type="gram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Bunagana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Busanza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Kabindi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Rutshuru et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Kiwanja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.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</w:p>
          <w:p w14:paraId="1BFC61F8" w14:textId="77777777" w:rsidR="00260015" w:rsidRPr="003D46BD" w:rsidRDefault="00FC32C8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La population de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s Villages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Gasura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Mihika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1,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Mihika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2 et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Gihwera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de 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Burere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en Groupement </w:t>
            </w:r>
            <w:proofErr w:type="gram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de 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Bweza</w:t>
            </w:r>
            <w:proofErr w:type="spellEnd"/>
            <w:proofErr w:type="gram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a</w:t>
            </w:r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fait aussi des mouvements préventifs vers </w:t>
            </w:r>
            <w:proofErr w:type="spellStart"/>
            <w:r w:rsidR="00260015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Kasiza</w:t>
            </w:r>
            <w:proofErr w:type="spellEnd"/>
            <w:r w:rsidR="00260015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="00260015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Kasebeya</w:t>
            </w:r>
            <w:proofErr w:type="spellEnd"/>
            <w:r w:rsidR="00260015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="00260015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Rutsiro</w:t>
            </w:r>
            <w:proofErr w:type="spellEnd"/>
            <w:r w:rsidR="00392DFE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="00392DFE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Kinihira</w:t>
            </w:r>
            <w:proofErr w:type="spellEnd"/>
            <w:r w:rsidR="00260015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et </w:t>
            </w:r>
            <w:proofErr w:type="spellStart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Ntamugenga</w:t>
            </w:r>
            <w:proofErr w:type="spellEnd"/>
            <w:r w:rsidRPr="00FC32C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.</w:t>
            </w:r>
          </w:p>
          <w:p w14:paraId="3C47335F" w14:textId="77777777" w:rsidR="00090A32" w:rsidRPr="003D46BD" w:rsidRDefault="00090A32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</w:p>
          <w:p w14:paraId="128A99E8" w14:textId="77777777" w:rsidR="00090A32" w:rsidRPr="003D46BD" w:rsidRDefault="00090A32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Les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PDIs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étaient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acceuillis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dans des familles d’accueils, dans les églises et écoles (EP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Kavugiza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Institut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Munagana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EP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Basare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Institut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Basare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EP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Nyagasozi</w:t>
            </w:r>
            <w:proofErr w:type="spellEnd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Institut </w:t>
            </w:r>
            <w:proofErr w:type="spellStart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Kabindi</w:t>
            </w:r>
            <w:proofErr w:type="spellEnd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EP </w:t>
            </w:r>
            <w:proofErr w:type="spellStart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Tchengerero</w:t>
            </w:r>
            <w:proofErr w:type="spellEnd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ITV </w:t>
            </w:r>
            <w:proofErr w:type="spellStart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Tchengerero</w:t>
            </w:r>
            <w:proofErr w:type="spellEnd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, EP </w:t>
            </w:r>
            <w:proofErr w:type="spellStart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Musaga</w:t>
            </w:r>
            <w:proofErr w:type="spellEnd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et Institut </w:t>
            </w:r>
            <w:proofErr w:type="spellStart"/>
            <w:r w:rsidR="00C56CA7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Yatosha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.</w:t>
            </w:r>
          </w:p>
          <w:p w14:paraId="6A3F1D50" w14:textId="77777777" w:rsidR="00260015" w:rsidRPr="003D46BD" w:rsidRDefault="00260015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Gikoro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compte 15500 personnes</w:t>
            </w:r>
            <w:r w:rsidR="00D03B2D" w:rsidRPr="003D46BD"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footnoteReference w:id="1"/>
            </w: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r w:rsidR="00D03B2D"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réparties</w:t>
            </w: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dans 7 villages de la manière suivante :</w:t>
            </w:r>
          </w:p>
          <w:p w14:paraId="12548392" w14:textId="77777777" w:rsidR="00260015" w:rsidRPr="003D46BD" w:rsidRDefault="00260015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Gisiza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 : 5000 personnes</w:t>
            </w:r>
          </w:p>
          <w:p w14:paraId="4F483508" w14:textId="77777777" w:rsidR="00260015" w:rsidRPr="003D46BD" w:rsidRDefault="00260015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Kanyundo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 : 2100 personnes</w:t>
            </w:r>
          </w:p>
          <w:p w14:paraId="20274834" w14:textId="77777777" w:rsidR="00260015" w:rsidRPr="003D46BD" w:rsidRDefault="00260015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Rushari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 : 200 personnes.</w:t>
            </w:r>
          </w:p>
          <w:p w14:paraId="1E09B3A2" w14:textId="77777777" w:rsidR="00260015" w:rsidRPr="003D46BD" w:rsidRDefault="00260015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Bwanwa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 : 200 personnes</w:t>
            </w:r>
          </w:p>
          <w:p w14:paraId="753CFEED" w14:textId="77777777" w:rsidR="00260015" w:rsidRPr="003D46BD" w:rsidRDefault="00260015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Gitovu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 : </w:t>
            </w:r>
            <w:r w:rsidR="00D03B2D"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2500 personnes</w:t>
            </w:r>
          </w:p>
          <w:p w14:paraId="400CC954" w14:textId="77777777" w:rsidR="00D03B2D" w:rsidRPr="003D46BD" w:rsidRDefault="00D03B2D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Kigote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 : 2000 personnes</w:t>
            </w:r>
          </w:p>
          <w:p w14:paraId="45945F7A" w14:textId="77777777" w:rsidR="00D03B2D" w:rsidRPr="003D46BD" w:rsidRDefault="00D03B2D" w:rsidP="00260015">
            <w:pPr>
              <w:pStyle w:val="ListParagraph"/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Nyarubara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 : 3500 personnes.</w:t>
            </w:r>
          </w:p>
          <w:p w14:paraId="681F9B7E" w14:textId="77777777" w:rsidR="00260015" w:rsidRPr="00FC32C8" w:rsidRDefault="00260015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</w:p>
          <w:p w14:paraId="1F9D1840" w14:textId="77777777" w:rsidR="00D03B2D" w:rsidRPr="003D46BD" w:rsidRDefault="00D03B2D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Dans 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Burere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, les villages suivants ont été vidés de la population :</w:t>
            </w:r>
          </w:p>
          <w:p w14:paraId="68B8232B" w14:textId="77777777" w:rsidR="00D03B2D" w:rsidRPr="003D46BD" w:rsidRDefault="00D03B2D" w:rsidP="00D03B2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Gasura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257 personnes.</w:t>
            </w:r>
          </w:p>
          <w:p w14:paraId="7B2A133E" w14:textId="77777777" w:rsidR="00D03B2D" w:rsidRPr="003D46BD" w:rsidRDefault="00D03B2D" w:rsidP="00D03B2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Mihika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1 : </w:t>
            </w:r>
            <w:r w:rsidR="00392DFE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277 personnes.</w:t>
            </w:r>
          </w:p>
          <w:p w14:paraId="18311D93" w14:textId="77777777" w:rsidR="00392DFE" w:rsidRPr="003D46BD" w:rsidRDefault="00392DFE" w:rsidP="00D03B2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Mihika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2 : 290 personnes</w:t>
            </w:r>
          </w:p>
          <w:p w14:paraId="2F48412F" w14:textId="77777777" w:rsidR="00392DFE" w:rsidRPr="003D46BD" w:rsidRDefault="00392DFE" w:rsidP="00D03B2D">
            <w:pPr>
              <w:pStyle w:val="ListParagraph"/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Gihwera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161 personnes.</w:t>
            </w:r>
          </w:p>
          <w:p w14:paraId="01F96512" w14:textId="77777777" w:rsidR="00392DFE" w:rsidRPr="003D46BD" w:rsidRDefault="00392DFE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fr-FR" w:eastAsia="fr-FR"/>
              </w:rPr>
              <w:t>N.B :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Toutes ces personnes s’étaient vidées de leurs villages pour </w:t>
            </w:r>
            <w:proofErr w:type="gram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ces déplacé</w:t>
            </w:r>
            <w:proofErr w:type="gram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dans les </w:t>
            </w: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lastRenderedPageBreak/>
              <w:t xml:space="preserve">lieux précédemment cité. En plus, la Coline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Chanzu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est sise dans le 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Gisiza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et celle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Runyoni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se trouve dans le 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Nyarubara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.</w:t>
            </w:r>
          </w:p>
          <w:p w14:paraId="57A71178" w14:textId="77777777" w:rsidR="00090A32" w:rsidRPr="003D46BD" w:rsidRDefault="00090A32" w:rsidP="00392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</w:p>
          <w:p w14:paraId="3F560FB3" w14:textId="77777777" w:rsidR="00392DFE" w:rsidRPr="003D46BD" w:rsidRDefault="00392DFE" w:rsidP="00392D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fr-FR"/>
              </w:rPr>
              <w:t xml:space="preserve">Vers 16h, tous les militaires FARDC de Rutshuru ont été déployés à Jomba pour renforcer ceux qui étaient aux fronts et tous les villages qui étaient sous contrôle des rebelles ont été récupérés par l’armée loyaliste. </w:t>
            </w:r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A 17h, certaines personnes déplacées ont commencé à retourner dans la </w:t>
            </w:r>
            <w:proofErr w:type="gram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Localité  de</w:t>
            </w:r>
            <w:proofErr w:type="gram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Nyarubara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,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Gitovu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 xml:space="preserve"> et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Kigote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.</w:t>
            </w:r>
          </w:p>
          <w:p w14:paraId="63A50E1B" w14:textId="77777777" w:rsidR="00392DFE" w:rsidRPr="003D46BD" w:rsidRDefault="00392DFE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</w:p>
          <w:p w14:paraId="4E1B17F8" w14:textId="77777777" w:rsidR="00392DFE" w:rsidRPr="003D46BD" w:rsidRDefault="00392DFE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Le 09 Novembre 2021 depuis le matin, un mouvement </w:t>
            </w:r>
            <w:proofErr w:type="gram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massif  de</w:t>
            </w:r>
            <w:proofErr w:type="gram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retour de la population a été effectif dans tous les villages de 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Gikoro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en Groupement de Jomba et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Burere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en Groupement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Bweza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.</w:t>
            </w:r>
          </w:p>
          <w:p w14:paraId="00737018" w14:textId="77777777" w:rsidR="00090A32" w:rsidRPr="003D46BD" w:rsidRDefault="00090A32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</w:p>
          <w:p w14:paraId="67A00AE1" w14:textId="77777777" w:rsidR="00090A32" w:rsidRPr="003D46BD" w:rsidRDefault="00090A32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Le 11 Novembre 2021, une équipe de FEMISA et de l’UPDDHE/GL s’est rendu à Jomba et à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Bweza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pour mener une évaluation préliminaire.</w:t>
            </w:r>
          </w:p>
          <w:p w14:paraId="01CE427E" w14:textId="77777777" w:rsidR="00C56CA7" w:rsidRPr="003D46BD" w:rsidRDefault="00C56CA7" w:rsidP="0026001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fr-FR" w:eastAsia="fr-FR"/>
              </w:rPr>
              <w:t xml:space="preserve">Mouvement de retour dans 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fr-FR" w:eastAsia="fr-FR"/>
              </w:rPr>
              <w:t>Gikoro</w:t>
            </w:r>
            <w:proofErr w:type="spellEnd"/>
          </w:p>
          <w:p w14:paraId="60D9982A" w14:textId="77777777" w:rsidR="00392DFE" w:rsidRPr="003D46BD" w:rsidRDefault="00C56CA7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Gisiza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4000 personnes retournées soit 80%.</w:t>
            </w:r>
          </w:p>
          <w:p w14:paraId="16AF6C8A" w14:textId="77777777" w:rsidR="00C56CA7" w:rsidRPr="003D46BD" w:rsidRDefault="00C56CA7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Kanyundo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1680 personnes retournées soit 80%.</w:t>
            </w:r>
          </w:p>
          <w:p w14:paraId="62E3961D" w14:textId="77777777" w:rsidR="00C56CA7" w:rsidRPr="003D46BD" w:rsidRDefault="00C56CA7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Rushari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160 personnes retournées soit 80%.</w:t>
            </w:r>
          </w:p>
          <w:p w14:paraId="5002C847" w14:textId="77777777" w:rsidR="00C56CA7" w:rsidRPr="003D46BD" w:rsidRDefault="00C56CA7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Bwanwa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180 personnes retournées soit 90%.</w:t>
            </w:r>
          </w:p>
          <w:p w14:paraId="15CA1B4B" w14:textId="77777777" w:rsidR="00C56CA7" w:rsidRPr="003D46BD" w:rsidRDefault="00C56CA7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Gitovu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2250 personnes retournées soit 90%.</w:t>
            </w:r>
          </w:p>
          <w:p w14:paraId="0585DB60" w14:textId="77777777" w:rsidR="00C56CA7" w:rsidRPr="003D46BD" w:rsidRDefault="00C56CA7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Kigote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 : </w:t>
            </w:r>
            <w:r w:rsidR="008F276F"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1800 personnes retournées soit 90%.</w:t>
            </w:r>
          </w:p>
          <w:p w14:paraId="7B3D9E28" w14:textId="77777777" w:rsidR="008F276F" w:rsidRPr="003D46BD" w:rsidRDefault="008F276F" w:rsidP="00C56CA7">
            <w:pPr>
              <w:pStyle w:val="ListParagraph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Nyarubara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2800 personnes retournées soit 80%.</w:t>
            </w:r>
          </w:p>
          <w:p w14:paraId="05E94BC9" w14:textId="77777777" w:rsidR="008F276F" w:rsidRPr="003D46BD" w:rsidRDefault="008F276F" w:rsidP="008F276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fr-FR" w:eastAsia="fr-FR"/>
              </w:rPr>
              <w:t xml:space="preserve">Mouvement de retour dans la Localité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fr-FR" w:eastAsia="fr-FR"/>
              </w:rPr>
              <w:t>Burere</w:t>
            </w:r>
            <w:proofErr w:type="spellEnd"/>
          </w:p>
          <w:p w14:paraId="620D1D2F" w14:textId="77777777" w:rsidR="008F276F" w:rsidRPr="003D46BD" w:rsidRDefault="008F276F" w:rsidP="008F276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Gasura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232 personnes retournées soit 90%.</w:t>
            </w:r>
          </w:p>
          <w:p w14:paraId="2C2572A3" w14:textId="77777777" w:rsidR="008F276F" w:rsidRPr="003D46BD" w:rsidRDefault="008F276F" w:rsidP="008F276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Mihika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1 : 236 personnes retournées soit 85%.</w:t>
            </w:r>
          </w:p>
          <w:p w14:paraId="33AB9388" w14:textId="77777777" w:rsidR="008F276F" w:rsidRPr="003D46BD" w:rsidRDefault="008F276F" w:rsidP="008F276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Mihika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 2 : 261 personnes retournées soit 90%</w:t>
            </w:r>
          </w:p>
          <w:p w14:paraId="5847AAB6" w14:textId="77777777" w:rsidR="008F276F" w:rsidRPr="003D46BD" w:rsidRDefault="008F276F" w:rsidP="008F276F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</w:pPr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 xml:space="preserve">Village de </w:t>
            </w:r>
            <w:proofErr w:type="spellStart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Gihwera</w:t>
            </w:r>
            <w:proofErr w:type="spellEnd"/>
            <w:r w:rsidRPr="003D46BD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fr-FR" w:eastAsia="fr-FR"/>
              </w:rPr>
              <w:t> : 129 personnes retournées soit 80%.</w:t>
            </w:r>
          </w:p>
          <w:p w14:paraId="506CEDF2" w14:textId="77777777" w:rsidR="00970BC9" w:rsidRPr="003D46BD" w:rsidRDefault="00970BC9" w:rsidP="008F276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970BC9" w:rsidRPr="003D46BD" w14:paraId="3FCF4BBE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28F105BF" w14:textId="77777777" w:rsidR="00970BC9" w:rsidRPr="003D46BD" w:rsidRDefault="00C34A5D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lastRenderedPageBreak/>
              <w:t>Dégâts causés</w:t>
            </w:r>
          </w:p>
        </w:tc>
        <w:tc>
          <w:tcPr>
            <w:tcW w:w="8805" w:type="dxa"/>
            <w:vAlign w:val="center"/>
          </w:tcPr>
          <w:p w14:paraId="41762DE7" w14:textId="77777777" w:rsidR="00970BC9" w:rsidRPr="003D46BD" w:rsidRDefault="00C34A5D" w:rsidP="008F094E">
            <w:pPr>
              <w:ind w:left="-20"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Pendant les affrontements, les toitures de plusieurs maisons ont été trouées par des balles, les animaux domestiques ont été perdu, vol des articles ménagers essentiels</w:t>
            </w:r>
            <w:r w:rsidR="00C663D8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des produits agricoles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les maisons par des personnes de mauvaise foi, 14 enfants </w:t>
            </w:r>
            <w:r w:rsidR="00C663D8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séparés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leurs familles biologiques dont 10 enfants dans le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Rushari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1 enfant du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Kanyundo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1 enfant du sous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Kinyangurube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Gisiza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1 enfant du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Gitovu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1 enfant du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Kogote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. </w:t>
            </w:r>
            <w:r w:rsidR="00C663D8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8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personnes ont été blessées lors du déplacement pendant la nuit à cause de l’</w:t>
            </w:r>
            <w:r w:rsidR="00C663D8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obscurité, destruction des cultures dans les champs pendant la fuite et affrontements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 Aucun cas de viol signalé.</w:t>
            </w:r>
          </w:p>
          <w:p w14:paraId="6DCBD5A0" w14:textId="77777777" w:rsidR="00C663D8" w:rsidRPr="003D46BD" w:rsidRDefault="00C663D8" w:rsidP="008F094E">
            <w:pPr>
              <w:ind w:left="-20"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Pour la lutte </w:t>
            </w:r>
            <w:r w:rsidR="00354D32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anti-mines</w:t>
            </w:r>
            <w:bookmarkStart w:id="1" w:name="_GoBack"/>
            <w:bookmarkEnd w:id="1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3 engins explosifs sont </w:t>
            </w:r>
            <w:proofErr w:type="gram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repéré</w:t>
            </w:r>
            <w:proofErr w:type="gram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dans le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Kanyundo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1 REG dans le sous village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Chanzu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C34A5D" w:rsidRPr="003D46BD" w14:paraId="0B14E3F6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0E99922A" w14:textId="77777777" w:rsidR="00C34A5D" w:rsidRPr="003D46BD" w:rsidRDefault="00C34A5D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 xml:space="preserve">Aperçu des besoins </w:t>
            </w:r>
          </w:p>
        </w:tc>
        <w:tc>
          <w:tcPr>
            <w:tcW w:w="8805" w:type="dxa"/>
            <w:vAlign w:val="center"/>
          </w:tcPr>
          <w:p w14:paraId="34891C71" w14:textId="77777777" w:rsidR="00C34A5D" w:rsidRPr="003D46BD" w:rsidRDefault="00C663D8" w:rsidP="00C663D8">
            <w:pPr>
              <w:ind w:left="-20" w:firstLine="2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</w:t>
            </w:r>
            <w:r w:rsidR="00C34A5D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 logement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par la réhabilitation des toitures</w:t>
            </w:r>
            <w:r w:rsidR="00C34A5D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les vêtements, les ustensiles de cuisine, la réunification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familiales</w:t>
            </w:r>
            <w:r w:rsidR="00C34A5D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des enfants séparés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, Appui en AGR</w:t>
            </w:r>
            <w:r w:rsidR="00C34A5D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Une évaluation multisectorielle est à mener urgemment dans la zone de retour.</w:t>
            </w:r>
          </w:p>
        </w:tc>
      </w:tr>
      <w:tr w:rsidR="00970BC9" w:rsidRPr="003D46BD" w14:paraId="0B75563B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3B79FDBA" w14:textId="77777777" w:rsidR="00970BC9" w:rsidRPr="003D46BD" w:rsidRDefault="00970BC9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Acteur humanitaire présents ou ayant intervenu</w:t>
            </w:r>
          </w:p>
        </w:tc>
        <w:tc>
          <w:tcPr>
            <w:tcW w:w="8805" w:type="dxa"/>
            <w:vAlign w:val="center"/>
          </w:tcPr>
          <w:p w14:paraId="5207AC99" w14:textId="77777777" w:rsidR="00970BC9" w:rsidRPr="003D46BD" w:rsidRDefault="00970BC9" w:rsidP="00C663D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Cet axe connait une présence des acteurs humanitaires. Quelques organisations </w:t>
            </w:r>
            <w:r w:rsidR="00C663D8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(surtout nationales) 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sans véritablement la capacité de réponse</w:t>
            </w:r>
            <w:r w:rsidR="00C663D8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ont fait des descentes sur le terrain pour s’imprégner de la situation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</w:tc>
      </w:tr>
      <w:tr w:rsidR="00970BC9" w:rsidRPr="003D46BD" w14:paraId="43C92E9A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2F79D772" w14:textId="77777777" w:rsidR="00970BC9" w:rsidRPr="003D46BD" w:rsidRDefault="00970BC9" w:rsidP="008F094E">
            <w:pPr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bCs/>
                <w:sz w:val="24"/>
                <w:szCs w:val="24"/>
                <w:lang w:val="fr-FR"/>
              </w:rPr>
              <w:t>Options d’assistance</w:t>
            </w:r>
          </w:p>
        </w:tc>
        <w:tc>
          <w:tcPr>
            <w:tcW w:w="8805" w:type="dxa"/>
            <w:vAlign w:val="center"/>
          </w:tcPr>
          <w:p w14:paraId="704B0B39" w14:textId="77777777" w:rsidR="00970BC9" w:rsidRPr="003D46BD" w:rsidRDefault="00C663D8" w:rsidP="008F094E">
            <w:pPr>
              <w:pStyle w:val="ListParagraph"/>
              <w:numPr>
                <w:ilvl w:val="0"/>
                <w:numId w:val="11"/>
              </w:numPr>
              <w:spacing w:after="0"/>
              <w:ind w:left="31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L’appui en logement par la réhabilitation des toitures des maisons détruites par des balles.</w:t>
            </w:r>
          </w:p>
          <w:p w14:paraId="09FA8F9C" w14:textId="77777777" w:rsidR="00970BC9" w:rsidRPr="003D46BD" w:rsidRDefault="00970BC9" w:rsidP="008F094E">
            <w:pPr>
              <w:pStyle w:val="ListParagraph"/>
              <w:numPr>
                <w:ilvl w:val="0"/>
                <w:numId w:val="11"/>
              </w:numPr>
              <w:spacing w:after="0"/>
              <w:ind w:left="31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L’appui en AME, notamment les ustensiles de cuisine, </w:t>
            </w:r>
            <w:r w:rsidR="009352AD"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habits, 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les matelas, etc.  </w:t>
            </w:r>
          </w:p>
          <w:p w14:paraId="6C63F78F" w14:textId="77777777" w:rsidR="00970BC9" w:rsidRPr="003D46BD" w:rsidRDefault="00970BC9" w:rsidP="008F094E">
            <w:pPr>
              <w:pStyle w:val="ListParagraph"/>
              <w:numPr>
                <w:ilvl w:val="0"/>
                <w:numId w:val="11"/>
              </w:numPr>
              <w:spacing w:after="0"/>
              <w:ind w:left="31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L’identification des enfants séparés, le placement en famille d’accueil, la recherche </w:t>
            </w: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lastRenderedPageBreak/>
              <w:t>familiale et la réunification.</w:t>
            </w:r>
          </w:p>
          <w:p w14:paraId="521D2960" w14:textId="77777777" w:rsidR="009352AD" w:rsidRPr="003D46BD" w:rsidRDefault="009352AD" w:rsidP="008F094E">
            <w:pPr>
              <w:pStyle w:val="ListParagraph"/>
              <w:numPr>
                <w:ilvl w:val="0"/>
                <w:numId w:val="11"/>
              </w:numPr>
              <w:spacing w:after="0"/>
              <w:ind w:left="310" w:hanging="270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Le déminage des engins explosif (Reste des Explosifs de Guerre)</w:t>
            </w:r>
          </w:p>
        </w:tc>
      </w:tr>
      <w:tr w:rsidR="00293B89" w:rsidRPr="003D46BD" w14:paraId="608CBF0C" w14:textId="77777777" w:rsidTr="008F094E">
        <w:tc>
          <w:tcPr>
            <w:tcW w:w="2148" w:type="dxa"/>
            <w:shd w:val="clear" w:color="auto" w:fill="EEECE1" w:themeFill="background2"/>
            <w:vAlign w:val="center"/>
          </w:tcPr>
          <w:p w14:paraId="180DA4E9" w14:textId="77777777" w:rsidR="00293B89" w:rsidRPr="003D46BD" w:rsidRDefault="00293B89" w:rsidP="008F09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D46B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Recommandation</w:t>
            </w:r>
            <w:proofErr w:type="spellEnd"/>
          </w:p>
        </w:tc>
        <w:tc>
          <w:tcPr>
            <w:tcW w:w="8805" w:type="dxa"/>
            <w:vAlign w:val="center"/>
          </w:tcPr>
          <w:p w14:paraId="5E7C45C0" w14:textId="77777777" w:rsidR="00293B89" w:rsidRPr="003D46BD" w:rsidRDefault="00293B89" w:rsidP="00293B89">
            <w:pPr>
              <w:ind w:left="-103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Organiser urgemment une évaluation rapide multisectorielle approfondie dans la zone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Gikoro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et de </w:t>
            </w:r>
            <w:proofErr w:type="spellStart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Burere</w:t>
            </w:r>
            <w:proofErr w:type="spellEnd"/>
            <w:r w:rsidRPr="003D46B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128A2992" w14:textId="77777777" w:rsidR="00970BC9" w:rsidRPr="003D46BD" w:rsidRDefault="00970BC9" w:rsidP="00970BC9">
      <w:pPr>
        <w:pStyle w:val="ListParagraph"/>
        <w:numPr>
          <w:ilvl w:val="0"/>
          <w:numId w:val="0"/>
        </w:numPr>
        <w:spacing w:after="0" w:line="259" w:lineRule="auto"/>
        <w:ind w:left="72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59698354" w14:textId="77777777" w:rsidR="00970BC9" w:rsidRPr="003D46BD" w:rsidRDefault="00970BC9" w:rsidP="00970BC9">
      <w:pPr>
        <w:pStyle w:val="ListParagraph"/>
        <w:numPr>
          <w:ilvl w:val="0"/>
          <w:numId w:val="0"/>
        </w:numPr>
        <w:ind w:left="360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3FE01DAF" w14:textId="77777777" w:rsidR="00970BC9" w:rsidRPr="003D46BD" w:rsidRDefault="00293B89" w:rsidP="003D46B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D46BD">
        <w:rPr>
          <w:rFonts w:ascii="Times New Roman" w:hAnsi="Times New Roman" w:cs="Times New Roman"/>
          <w:b/>
          <w:sz w:val="24"/>
          <w:szCs w:val="24"/>
        </w:rPr>
        <w:t>Fait à Rutshuru, le 12 Novembre 2021</w:t>
      </w:r>
    </w:p>
    <w:p w14:paraId="13DF9932" w14:textId="77777777" w:rsidR="00293B89" w:rsidRPr="003D46BD" w:rsidRDefault="00293B89" w:rsidP="00970BC9">
      <w:pPr>
        <w:rPr>
          <w:rFonts w:ascii="Times New Roman" w:hAnsi="Times New Roman" w:cs="Times New Roman"/>
          <w:sz w:val="24"/>
          <w:szCs w:val="24"/>
        </w:rPr>
      </w:pPr>
    </w:p>
    <w:p w14:paraId="0404C5BF" w14:textId="77777777" w:rsidR="00970BC9" w:rsidRPr="003D46BD" w:rsidRDefault="00970BC9" w:rsidP="00970BC9">
      <w:pPr>
        <w:tabs>
          <w:tab w:val="left" w:pos="1020"/>
        </w:tabs>
        <w:rPr>
          <w:rFonts w:ascii="Times New Roman" w:hAnsi="Times New Roman" w:cs="Times New Roman"/>
          <w:sz w:val="24"/>
          <w:szCs w:val="24"/>
        </w:rPr>
      </w:pPr>
    </w:p>
    <w:p w14:paraId="4622D4CD" w14:textId="77777777" w:rsidR="00970BC9" w:rsidRPr="003D46BD" w:rsidRDefault="00970BC9">
      <w:pPr>
        <w:rPr>
          <w:rFonts w:ascii="Times New Roman" w:hAnsi="Times New Roman" w:cs="Times New Roman"/>
          <w:sz w:val="24"/>
          <w:szCs w:val="24"/>
        </w:rPr>
      </w:pPr>
    </w:p>
    <w:sectPr w:rsidR="00970BC9" w:rsidRPr="003D46BD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D76CF" w14:textId="77777777" w:rsidR="00280A2F" w:rsidRDefault="00280A2F" w:rsidP="00D03B2D">
      <w:pPr>
        <w:spacing w:after="0" w:line="240" w:lineRule="auto"/>
      </w:pPr>
      <w:r>
        <w:separator/>
      </w:r>
    </w:p>
  </w:endnote>
  <w:endnote w:type="continuationSeparator" w:id="0">
    <w:p w14:paraId="0483CF10" w14:textId="77777777" w:rsidR="00280A2F" w:rsidRDefault="00280A2F" w:rsidP="00D03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908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0536C9" w14:textId="77777777" w:rsidR="000C601E" w:rsidRDefault="00280A2F" w:rsidP="0003153C">
        <w:pPr>
          <w:pStyle w:val="Footer"/>
          <w:rPr>
            <w:noProof/>
          </w:rPr>
        </w:pPr>
        <w:r w:rsidRPr="008314E0">
          <w:fldChar w:fldCharType="begin"/>
        </w:r>
        <w:r w:rsidRPr="008314E0">
          <w:instrText xml:space="preserve"> PAGE   \* MERGEFORMAT </w:instrText>
        </w:r>
        <w:r w:rsidRPr="008314E0">
          <w:fldChar w:fldCharType="separate"/>
        </w:r>
        <w:r>
          <w:rPr>
            <w:noProof/>
          </w:rPr>
          <w:t>1</w:t>
        </w:r>
        <w:r w:rsidRPr="008314E0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09235" w14:textId="77777777" w:rsidR="00280A2F" w:rsidRDefault="00280A2F" w:rsidP="00D03B2D">
      <w:pPr>
        <w:spacing w:after="0" w:line="240" w:lineRule="auto"/>
      </w:pPr>
      <w:r>
        <w:separator/>
      </w:r>
    </w:p>
  </w:footnote>
  <w:footnote w:type="continuationSeparator" w:id="0">
    <w:p w14:paraId="3C02B4D1" w14:textId="77777777" w:rsidR="00280A2F" w:rsidRDefault="00280A2F" w:rsidP="00D03B2D">
      <w:pPr>
        <w:spacing w:after="0" w:line="240" w:lineRule="auto"/>
      </w:pPr>
      <w:r>
        <w:continuationSeparator/>
      </w:r>
    </w:p>
  </w:footnote>
  <w:footnote w:id="1">
    <w:p w14:paraId="0E88BE29" w14:textId="77777777" w:rsidR="00D03B2D" w:rsidRDefault="00D03B2D">
      <w:pPr>
        <w:pStyle w:val="FootnoteText"/>
      </w:pPr>
      <w:r>
        <w:rPr>
          <w:rStyle w:val="FootnoteReference"/>
        </w:rPr>
        <w:footnoteRef/>
      </w:r>
      <w:r>
        <w:t xml:space="preserve"> Données statistiques présentées par le </w:t>
      </w:r>
      <w:r w:rsidR="00090A32">
        <w:t>Secrétaire</w:t>
      </w:r>
      <w:r>
        <w:t xml:space="preserve"> de la Localité et 1</w:t>
      </w:r>
      <w:r w:rsidRPr="00D03B2D">
        <w:rPr>
          <w:vertAlign w:val="superscript"/>
        </w:rPr>
        <w:t>er</w:t>
      </w:r>
      <w:r>
        <w:t xml:space="preserve"> Vice-président du NPD </w:t>
      </w:r>
      <w:proofErr w:type="spellStart"/>
      <w:r>
        <w:t>Gikoro</w:t>
      </w:r>
      <w:proofErr w:type="spellEnd"/>
      <w:r>
        <w:t xml:space="preserve"> et les Chefs des villages.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06AF0"/>
    <w:multiLevelType w:val="hybridMultilevel"/>
    <w:tmpl w:val="952C41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B239A"/>
    <w:multiLevelType w:val="hybridMultilevel"/>
    <w:tmpl w:val="EC5AE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354BA"/>
    <w:multiLevelType w:val="hybridMultilevel"/>
    <w:tmpl w:val="64B02A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50F47"/>
    <w:multiLevelType w:val="hybridMultilevel"/>
    <w:tmpl w:val="A5D42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C55CD"/>
    <w:multiLevelType w:val="hybridMultilevel"/>
    <w:tmpl w:val="9EB2A1CC"/>
    <w:lvl w:ilvl="0" w:tplc="04090001">
      <w:start w:val="1"/>
      <w:numFmt w:val="bullet"/>
      <w:lvlText w:val=""/>
      <w:lvlJc w:val="left"/>
      <w:pPr>
        <w:ind w:left="-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</w:abstractNum>
  <w:abstractNum w:abstractNumId="5" w15:restartNumberingAfterBreak="0">
    <w:nsid w:val="248C4382"/>
    <w:multiLevelType w:val="hybridMultilevel"/>
    <w:tmpl w:val="0832C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9861CF"/>
    <w:multiLevelType w:val="hybridMultilevel"/>
    <w:tmpl w:val="0A687DAE"/>
    <w:lvl w:ilvl="0" w:tplc="B9EC03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525E2B"/>
    <w:multiLevelType w:val="multilevel"/>
    <w:tmpl w:val="0409001D"/>
    <w:numStyleLink w:val="List-Bullets"/>
  </w:abstractNum>
  <w:abstractNum w:abstractNumId="8" w15:restartNumberingAfterBreak="0">
    <w:nsid w:val="3E79714D"/>
    <w:multiLevelType w:val="multilevel"/>
    <w:tmpl w:val="C2EA0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EA025B5"/>
    <w:multiLevelType w:val="hybridMultilevel"/>
    <w:tmpl w:val="FB62790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30379"/>
    <w:multiLevelType w:val="hybridMultilevel"/>
    <w:tmpl w:val="C8AE42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DF5916"/>
    <w:multiLevelType w:val="hybridMultilevel"/>
    <w:tmpl w:val="C70EDCDC"/>
    <w:lvl w:ilvl="0" w:tplc="B9EC03B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F7BBC"/>
    <w:multiLevelType w:val="hybridMultilevel"/>
    <w:tmpl w:val="64B02A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B0534A"/>
    <w:multiLevelType w:val="hybridMultilevel"/>
    <w:tmpl w:val="1C1601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906671"/>
    <w:multiLevelType w:val="hybridMultilevel"/>
    <w:tmpl w:val="7DCEB9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F1A79"/>
    <w:multiLevelType w:val="hybridMultilevel"/>
    <w:tmpl w:val="705863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B309B5"/>
    <w:multiLevelType w:val="multilevel"/>
    <w:tmpl w:val="0409001D"/>
    <w:styleLink w:val="List-Bullets"/>
    <w:lvl w:ilvl="0">
      <w:start w:val="1"/>
      <w:numFmt w:val="bullet"/>
      <w:pStyle w:val="ListParagraph"/>
      <w:lvlText w:val="•"/>
      <w:lvlJc w:val="left"/>
      <w:pPr>
        <w:ind w:left="360" w:hanging="360"/>
      </w:pPr>
      <w:rPr>
        <w:rFonts w:asciiTheme="minorHAnsi" w:hAnsiTheme="minorHAnsi" w:cs="Times New Roman" w:hint="default"/>
        <w:color w:val="007AC2"/>
        <w:sz w:val="20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  <w:color w:val="007AC2"/>
        <w:sz w:val="20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Arial" w:hAnsi="Arial" w:hint="default"/>
        <w:color w:val="007AC2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  <w:color w:val="007AC2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  <w:color w:val="007AC2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color w:val="007AC2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Arial" w:hAnsi="Arial" w:hint="default"/>
        <w:color w:val="007AC2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Arial" w:hAnsi="Arial" w:hint="default"/>
        <w:color w:val="007AC2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Arial" w:hAnsi="Arial" w:hint="default"/>
        <w:color w:val="007AC2"/>
      </w:rPr>
    </w:lvl>
  </w:abstractNum>
  <w:abstractNum w:abstractNumId="17" w15:restartNumberingAfterBreak="0">
    <w:nsid w:val="7D7E1BDA"/>
    <w:multiLevelType w:val="hybridMultilevel"/>
    <w:tmpl w:val="71125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17"/>
  </w:num>
  <w:num w:numId="8">
    <w:abstractNumId w:val="1"/>
  </w:num>
  <w:num w:numId="9">
    <w:abstractNumId w:val="5"/>
  </w:num>
  <w:num w:numId="10">
    <w:abstractNumId w:val="15"/>
  </w:num>
  <w:num w:numId="11">
    <w:abstractNumId w:val="14"/>
  </w:num>
  <w:num w:numId="12">
    <w:abstractNumId w:val="4"/>
  </w:num>
  <w:num w:numId="13">
    <w:abstractNumId w:val="10"/>
  </w:num>
  <w:num w:numId="14">
    <w:abstractNumId w:val="2"/>
  </w:num>
  <w:num w:numId="15">
    <w:abstractNumId w:val="6"/>
  </w:num>
  <w:num w:numId="16">
    <w:abstractNumId w:val="12"/>
  </w:num>
  <w:num w:numId="17">
    <w:abstractNumId w:val="1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C9"/>
    <w:rsid w:val="00090A32"/>
    <w:rsid w:val="00224603"/>
    <w:rsid w:val="00260015"/>
    <w:rsid w:val="00280A2F"/>
    <w:rsid w:val="00293B89"/>
    <w:rsid w:val="00354D32"/>
    <w:rsid w:val="00392DFE"/>
    <w:rsid w:val="003D46BD"/>
    <w:rsid w:val="00820C3C"/>
    <w:rsid w:val="008F276F"/>
    <w:rsid w:val="009352AD"/>
    <w:rsid w:val="00970BC9"/>
    <w:rsid w:val="00A81323"/>
    <w:rsid w:val="00C34A5D"/>
    <w:rsid w:val="00C56CA7"/>
    <w:rsid w:val="00C663D8"/>
    <w:rsid w:val="00D03B2D"/>
    <w:rsid w:val="00DB2D1F"/>
    <w:rsid w:val="00E35709"/>
    <w:rsid w:val="00F845CE"/>
    <w:rsid w:val="00FC32C8"/>
    <w:rsid w:val="00FF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5B9C"/>
  <w15:docId w15:val="{76B2A7A1-A399-4D48-B723-DD8F0A56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2AD"/>
  </w:style>
  <w:style w:type="paragraph" w:styleId="Heading1">
    <w:name w:val="heading 1"/>
    <w:basedOn w:val="Normal"/>
    <w:next w:val="Normal"/>
    <w:link w:val="Heading1Char"/>
    <w:uiPriority w:val="9"/>
    <w:qFormat/>
    <w:rsid w:val="00970BC9"/>
    <w:pPr>
      <w:keepNext/>
      <w:keepLines/>
      <w:spacing w:after="280" w:line="264" w:lineRule="auto"/>
      <w:outlineLvl w:val="0"/>
    </w:pPr>
    <w:rPr>
      <w:rFonts w:eastAsiaTheme="majorEastAsia" w:cs="Arial"/>
      <w:bCs/>
      <w:color w:val="1F497D" w:themeColor="text2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0BC9"/>
    <w:rPr>
      <w:rFonts w:eastAsiaTheme="majorEastAsia" w:cs="Arial"/>
      <w:bCs/>
      <w:color w:val="1F497D" w:themeColor="text2"/>
      <w:sz w:val="48"/>
      <w:szCs w:val="48"/>
    </w:rPr>
  </w:style>
  <w:style w:type="paragraph" w:styleId="ListParagraph">
    <w:name w:val="List Paragraph"/>
    <w:aliases w:val="normal,List Paragraph1,Normal1,Normal11,Normal2,Normal3,Normal4,Normal5,Normal6,Normal7,Normal111,Normal8,Normal9,Normal10,Normal12,Normal13,Normal14,Normal15,Normal16,Normal17,Normal18,Normal19,Normal20,Normal1111,Titre 7 Car1"/>
    <w:basedOn w:val="Normal"/>
    <w:link w:val="ListParagraphChar"/>
    <w:uiPriority w:val="34"/>
    <w:qFormat/>
    <w:rsid w:val="00970BC9"/>
    <w:pPr>
      <w:numPr>
        <w:numId w:val="2"/>
      </w:numPr>
      <w:spacing w:after="280" w:line="336" w:lineRule="auto"/>
      <w:contextualSpacing/>
    </w:pPr>
    <w:rPr>
      <w:rFonts w:cs="Arial"/>
      <w:sz w:val="20"/>
      <w:szCs w:val="20"/>
    </w:rPr>
  </w:style>
  <w:style w:type="numbering" w:customStyle="1" w:styleId="List-Bullets">
    <w:name w:val="List-Bullets"/>
    <w:uiPriority w:val="99"/>
    <w:rsid w:val="00970BC9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970BC9"/>
    <w:pPr>
      <w:tabs>
        <w:tab w:val="center" w:pos="4320"/>
        <w:tab w:val="right" w:pos="8640"/>
      </w:tabs>
      <w:spacing w:after="0" w:line="240" w:lineRule="auto"/>
    </w:pPr>
    <w:rPr>
      <w:rFonts w:cs="Arial"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70BC9"/>
    <w:rPr>
      <w:rFonts w:cs="Arial"/>
      <w:sz w:val="20"/>
      <w:szCs w:val="24"/>
    </w:rPr>
  </w:style>
  <w:style w:type="paragraph" w:styleId="NoSpacing">
    <w:name w:val="No Spacing"/>
    <w:link w:val="NoSpacingChar"/>
    <w:uiPriority w:val="1"/>
    <w:qFormat/>
    <w:rsid w:val="00970BC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70BC9"/>
    <w:rPr>
      <w:rFonts w:eastAsiaTheme="minorEastAsia"/>
      <w:lang w:val="en-US"/>
    </w:rPr>
  </w:style>
  <w:style w:type="table" w:styleId="TableGrid">
    <w:name w:val="Table Grid"/>
    <w:basedOn w:val="TableNormal"/>
    <w:uiPriority w:val="59"/>
    <w:rsid w:val="00970BC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Char,List Paragraph1 Char,Normal1 Char,Normal11 Char,Normal2 Char,Normal3 Char,Normal4 Char,Normal5 Char,Normal6 Char,Normal7 Char,Normal111 Char,Normal8 Char,Normal9 Char,Normal10 Char,Normal12 Char,Normal13 Char"/>
    <w:link w:val="ListParagraph"/>
    <w:uiPriority w:val="34"/>
    <w:qFormat/>
    <w:locked/>
    <w:rsid w:val="00970BC9"/>
    <w:rPr>
      <w:rFonts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970B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0BC9"/>
    <w:pPr>
      <w:spacing w:after="280" w:line="240" w:lineRule="auto"/>
    </w:pPr>
    <w:rPr>
      <w:rFonts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0BC9"/>
    <w:rPr>
      <w:rFonts w:cs="Arial"/>
      <w:sz w:val="20"/>
      <w:szCs w:val="20"/>
    </w:rPr>
  </w:style>
  <w:style w:type="table" w:customStyle="1" w:styleId="GridTable4-Accent41">
    <w:name w:val="Grid Table 4 - Accent 41"/>
    <w:basedOn w:val="TableNormal"/>
    <w:uiPriority w:val="49"/>
    <w:rsid w:val="00970B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70B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BC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B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B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B2D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E35709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7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6D194BCE4BA4A92B2A852D517E666" ma:contentTypeVersion="10" ma:contentTypeDescription="Create a new document." ma:contentTypeScope="" ma:versionID="bab547c286fd395e5335255e010ca892">
  <xsd:schema xmlns:xsd="http://www.w3.org/2001/XMLSchema" xmlns:xs="http://www.w3.org/2001/XMLSchema" xmlns:p="http://schemas.microsoft.com/office/2006/metadata/properties" xmlns:ns3="5ee44128-3d50-4b9c-aa09-37e8fa8fd955" targetNamespace="http://schemas.microsoft.com/office/2006/metadata/properties" ma:root="true" ma:fieldsID="6a544d4580c0cfef9306b15d33df1514" ns3:_="">
    <xsd:import namespace="5ee44128-3d50-4b9c-aa09-37e8fa8fd9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44128-3d50-4b9c-aa09-37e8fa8fd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875E9-7CAD-49DE-ACB8-9CF6CEE78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44128-3d50-4b9c-aa09-37e8fa8fd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002747-81F5-48A8-89C3-6109C5EFB0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FB7978-1855-4DA9-B90A-1668EA4E5A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5254</Characters>
  <Application>Microsoft Office Word</Application>
  <DocSecurity>4</DocSecurity>
  <Lines>43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3" baseType="lpstr">
      <vt:lpstr/>
      <vt:lpstr/>
      <vt:lpstr>//</vt:lpstr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CLEMENT</dc:creator>
  <cp:lastModifiedBy>Chigashamwa Moshi</cp:lastModifiedBy>
  <cp:revision>2</cp:revision>
  <cp:lastPrinted>2021-11-12T08:49:00Z</cp:lastPrinted>
  <dcterms:created xsi:type="dcterms:W3CDTF">2021-11-12T12:28:00Z</dcterms:created>
  <dcterms:modified xsi:type="dcterms:W3CDTF">2021-11-12T12:28:00Z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0x0101000CD6D194BCE4BA4A92B2A852D517E666</vt:lpwstr>
  </property>
</Properties>
</file>